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981"/>
        <w:tblW w:w="10915" w:type="dxa"/>
        <w:tblCellMar>
          <w:top w:w="15" w:type="dxa"/>
          <w:left w:w="15" w:type="dxa"/>
          <w:bottom w:w="15" w:type="dxa"/>
          <w:right w:w="15" w:type="dxa"/>
        </w:tblCellMar>
        <w:tblLook w:val="04A0" w:firstRow="1" w:lastRow="0" w:firstColumn="1" w:lastColumn="0" w:noHBand="0" w:noVBand="1"/>
        <w:tblDescription w:val=""/>
      </w:tblPr>
      <w:tblGrid>
        <w:gridCol w:w="9781"/>
        <w:gridCol w:w="1134"/>
      </w:tblGrid>
      <w:tr w:rsidR="008A1F61" w:rsidRPr="008A1F61" w14:paraId="36AE675A" w14:textId="77777777" w:rsidTr="002E4366">
        <w:trPr>
          <w:tblHeader/>
        </w:trPr>
        <w:tc>
          <w:tcPr>
            <w:tcW w:w="10915" w:type="dxa"/>
            <w:gridSpan w:val="2"/>
            <w:tcBorders>
              <w:top w:val="nil"/>
              <w:left w:val="nil"/>
              <w:bottom w:val="nil"/>
              <w:right w:val="nil"/>
            </w:tcBorders>
            <w:shd w:val="clear" w:color="auto" w:fill="24A699"/>
            <w:tcMar>
              <w:top w:w="75" w:type="dxa"/>
              <w:left w:w="75" w:type="dxa"/>
              <w:bottom w:w="75" w:type="dxa"/>
              <w:right w:w="75" w:type="dxa"/>
            </w:tcMar>
            <w:vAlign w:val="center"/>
            <w:hideMark/>
          </w:tcPr>
          <w:p w14:paraId="08260C31" w14:textId="77777777" w:rsidR="008A1F61" w:rsidRPr="008A1F61" w:rsidRDefault="008A1F61" w:rsidP="008A1F61">
            <w:pPr>
              <w:spacing w:after="0" w:line="240" w:lineRule="auto"/>
              <w:rPr>
                <w:rFonts w:eastAsia="Times New Roman" w:cs="Arial"/>
                <w:color w:val="FFFFFF"/>
                <w:szCs w:val="24"/>
                <w:lang w:eastAsia="en-GB"/>
              </w:rPr>
            </w:pPr>
            <w:r w:rsidRPr="008A1F61">
              <w:rPr>
                <w:rFonts w:eastAsia="Times New Roman" w:cs="Arial"/>
                <w:color w:val="FFFFFF"/>
                <w:szCs w:val="24"/>
                <w:lang w:eastAsia="en-GB"/>
              </w:rPr>
              <w:t xml:space="preserve">Interment Fees (Residents) </w:t>
            </w:r>
          </w:p>
        </w:tc>
      </w:tr>
      <w:tr w:rsidR="008A1F61" w:rsidRPr="008A1F61" w14:paraId="1F160831" w14:textId="77777777" w:rsidTr="002E4366">
        <w:trPr>
          <w:tblHeader/>
        </w:trPr>
        <w:tc>
          <w:tcPr>
            <w:tcW w:w="9781" w:type="dxa"/>
            <w:tcBorders>
              <w:top w:val="single" w:sz="6" w:space="0" w:color="CCCCCC"/>
              <w:left w:val="single" w:sz="6" w:space="0" w:color="CCCCCC"/>
              <w:bottom w:val="single" w:sz="6" w:space="0" w:color="CCCCCC"/>
              <w:right w:val="single" w:sz="6" w:space="0" w:color="CCCCCC"/>
            </w:tcBorders>
            <w:shd w:val="clear" w:color="auto" w:fill="24A699"/>
            <w:tcMar>
              <w:top w:w="75" w:type="dxa"/>
              <w:left w:w="75" w:type="dxa"/>
              <w:bottom w:w="75" w:type="dxa"/>
              <w:right w:w="75" w:type="dxa"/>
            </w:tcMar>
            <w:vAlign w:val="center"/>
            <w:hideMark/>
          </w:tcPr>
          <w:p w14:paraId="5BBFC056" w14:textId="77777777" w:rsidR="008A1F61" w:rsidRPr="008A1F61" w:rsidRDefault="008A1F61" w:rsidP="008A1F61">
            <w:pPr>
              <w:spacing w:after="0" w:line="240" w:lineRule="auto"/>
              <w:rPr>
                <w:rFonts w:eastAsia="Times New Roman" w:cs="Arial"/>
                <w:b/>
                <w:bCs/>
                <w:color w:val="FFFFFF"/>
                <w:szCs w:val="24"/>
                <w:lang w:eastAsia="en-GB"/>
              </w:rPr>
            </w:pPr>
            <w:r w:rsidRPr="008A1F61">
              <w:rPr>
                <w:rFonts w:eastAsia="Times New Roman" w:cs="Arial"/>
                <w:b/>
                <w:bCs/>
                <w:color w:val="FFFFFF"/>
                <w:szCs w:val="24"/>
                <w:lang w:eastAsia="en-GB"/>
              </w:rPr>
              <w:t>Service</w:t>
            </w:r>
          </w:p>
        </w:tc>
        <w:tc>
          <w:tcPr>
            <w:tcW w:w="1134" w:type="dxa"/>
            <w:tcBorders>
              <w:top w:val="single" w:sz="6" w:space="0" w:color="CCCCCC"/>
              <w:left w:val="single" w:sz="6" w:space="0" w:color="CCCCCC"/>
              <w:bottom w:val="single" w:sz="6" w:space="0" w:color="CCCCCC"/>
              <w:right w:val="single" w:sz="6" w:space="0" w:color="CCCCCC"/>
            </w:tcBorders>
            <w:shd w:val="clear" w:color="auto" w:fill="24A699"/>
            <w:tcMar>
              <w:top w:w="75" w:type="dxa"/>
              <w:left w:w="75" w:type="dxa"/>
              <w:bottom w:w="75" w:type="dxa"/>
              <w:right w:w="75" w:type="dxa"/>
            </w:tcMar>
            <w:vAlign w:val="center"/>
            <w:hideMark/>
          </w:tcPr>
          <w:p w14:paraId="66427882" w14:textId="77777777" w:rsidR="008A1F61" w:rsidRPr="008A1F61" w:rsidRDefault="008A1F61" w:rsidP="008A1F61">
            <w:pPr>
              <w:spacing w:after="0" w:line="240" w:lineRule="auto"/>
              <w:rPr>
                <w:rFonts w:eastAsia="Times New Roman" w:cs="Arial"/>
                <w:b/>
                <w:bCs/>
                <w:color w:val="FFFFFF"/>
                <w:szCs w:val="24"/>
                <w:lang w:eastAsia="en-GB"/>
              </w:rPr>
            </w:pPr>
            <w:r w:rsidRPr="008A1F61">
              <w:rPr>
                <w:rFonts w:eastAsia="Times New Roman" w:cs="Arial"/>
                <w:b/>
                <w:bCs/>
                <w:color w:val="FFFFFF"/>
                <w:szCs w:val="24"/>
                <w:lang w:eastAsia="en-GB"/>
              </w:rPr>
              <w:t>Fee</w:t>
            </w:r>
          </w:p>
        </w:tc>
      </w:tr>
      <w:tr w:rsidR="008A1F61" w:rsidRPr="008A1F61" w14:paraId="6DBC8E55" w14:textId="77777777" w:rsidTr="008A1F61">
        <w:tc>
          <w:tcPr>
            <w:tcW w:w="9781"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2B450809"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Person 18 years and over (all depths)</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1251F8A5"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£825</w:t>
            </w:r>
          </w:p>
        </w:tc>
      </w:tr>
      <w:tr w:rsidR="008A1F61" w:rsidRPr="008A1F61" w14:paraId="46C496C4" w14:textId="77777777" w:rsidTr="008A1F61">
        <w:tc>
          <w:tcPr>
            <w:tcW w:w="9781"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75AD3C26"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Interment of Ashes in casket or poured loose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11E985F4"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£236</w:t>
            </w:r>
          </w:p>
        </w:tc>
      </w:tr>
      <w:tr w:rsidR="008A1F61" w:rsidRPr="008A1F61" w14:paraId="1366802E" w14:textId="77777777" w:rsidTr="008A1F61">
        <w:tc>
          <w:tcPr>
            <w:tcW w:w="9781"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7ED8AEB9"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 xml:space="preserve">Child 1 month to 17 years. </w:t>
            </w:r>
          </w:p>
          <w:p w14:paraId="59B3E106" w14:textId="77777777" w:rsidR="008A1F61" w:rsidRPr="008A1F61" w:rsidRDefault="008A1F61" w:rsidP="008A1F61">
            <w:pPr>
              <w:shd w:val="clear" w:color="auto" w:fill="FFFFFF"/>
              <w:spacing w:after="0" w:line="240" w:lineRule="auto"/>
              <w:rPr>
                <w:rFonts w:eastAsia="Times New Roman" w:cs="Arial"/>
                <w:i/>
                <w:color w:val="333333"/>
                <w:szCs w:val="24"/>
                <w:lang w:eastAsia="en-GB"/>
              </w:rPr>
            </w:pPr>
            <w:r w:rsidRPr="008A1F61">
              <w:rPr>
                <w:rFonts w:eastAsia="Times New Roman" w:cs="Arial"/>
                <w:i/>
                <w:color w:val="333333"/>
                <w:szCs w:val="24"/>
                <w:lang w:eastAsia="en-GB"/>
              </w:rPr>
              <w:t>This fee will only be charged to the Children’s Funeral Fund and where reclaim is not possible the charge will not be passed to the family.</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64CC79B8"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£330</w:t>
            </w:r>
          </w:p>
        </w:tc>
      </w:tr>
      <w:tr w:rsidR="008A1F61" w:rsidRPr="008A1F61" w14:paraId="290E5E8C" w14:textId="77777777" w:rsidTr="008A1F61">
        <w:tc>
          <w:tcPr>
            <w:tcW w:w="9781"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5E50339C"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Still born or child up to 1 month</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45D8CBC7"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No fee</w:t>
            </w:r>
          </w:p>
        </w:tc>
      </w:tr>
      <w:tr w:rsidR="008A1F61" w:rsidRPr="008A1F61" w14:paraId="22194134" w14:textId="77777777" w:rsidTr="008A1F61">
        <w:trPr>
          <w:trHeight w:val="24"/>
        </w:trPr>
        <w:tc>
          <w:tcPr>
            <w:tcW w:w="9781"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274DDEC1"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 xml:space="preserve">Scattering of Ashes under turf in a purchased grave </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716746EF"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£66</w:t>
            </w:r>
          </w:p>
        </w:tc>
      </w:tr>
      <w:tr w:rsidR="008A1F61" w:rsidRPr="008A1F61" w14:paraId="6053049E" w14:textId="77777777" w:rsidTr="008A1F61">
        <w:tc>
          <w:tcPr>
            <w:tcW w:w="9781"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3DE71D77"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66623332"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p>
        </w:tc>
      </w:tr>
      <w:tr w:rsidR="008A1F61" w:rsidRPr="008A1F61" w14:paraId="477CA47C" w14:textId="77777777" w:rsidTr="008A1F61">
        <w:tc>
          <w:tcPr>
            <w:tcW w:w="9781"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6BE4FA1C"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Scattering of Ashes in Barrow Cemetery of a cremation done at Barrow Crematorium</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4A5C06C6"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No Fee</w:t>
            </w:r>
          </w:p>
        </w:tc>
      </w:tr>
      <w:tr w:rsidR="008A1F61" w:rsidRPr="008A1F61" w14:paraId="6E9DBD15" w14:textId="77777777" w:rsidTr="008A1F61">
        <w:tc>
          <w:tcPr>
            <w:tcW w:w="9781"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13BEF8A0"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Scattering of Ashes in Barrow Cemetery of a cremation done other than at Barrow Crematorium</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2054C1DB"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£39</w:t>
            </w:r>
          </w:p>
        </w:tc>
      </w:tr>
    </w:tbl>
    <w:tbl>
      <w:tblPr>
        <w:tblpPr w:leftFromText="180" w:rightFromText="180" w:vertAnchor="page" w:horzAnchor="margin" w:tblpXSpec="center" w:tblpY="8341"/>
        <w:tblW w:w="10915" w:type="dxa"/>
        <w:tblCellMar>
          <w:top w:w="15" w:type="dxa"/>
          <w:left w:w="15" w:type="dxa"/>
          <w:bottom w:w="15" w:type="dxa"/>
          <w:right w:w="15" w:type="dxa"/>
        </w:tblCellMar>
        <w:tblLook w:val="04A0" w:firstRow="1" w:lastRow="0" w:firstColumn="1" w:lastColumn="0" w:noHBand="0" w:noVBand="1"/>
        <w:tblDescription w:val=""/>
      </w:tblPr>
      <w:tblGrid>
        <w:gridCol w:w="8364"/>
        <w:gridCol w:w="1453"/>
        <w:gridCol w:w="1098"/>
      </w:tblGrid>
      <w:tr w:rsidR="008A1F61" w:rsidRPr="008A1F61" w14:paraId="205A9221" w14:textId="77777777" w:rsidTr="002E4366">
        <w:trPr>
          <w:tblHeader/>
        </w:trPr>
        <w:tc>
          <w:tcPr>
            <w:tcW w:w="10915" w:type="dxa"/>
            <w:gridSpan w:val="3"/>
            <w:tcBorders>
              <w:top w:val="nil"/>
              <w:left w:val="nil"/>
              <w:bottom w:val="nil"/>
              <w:right w:val="nil"/>
            </w:tcBorders>
            <w:shd w:val="clear" w:color="auto" w:fill="24A699"/>
            <w:tcMar>
              <w:top w:w="75" w:type="dxa"/>
              <w:left w:w="75" w:type="dxa"/>
              <w:bottom w:w="75" w:type="dxa"/>
              <w:right w:w="75" w:type="dxa"/>
            </w:tcMar>
            <w:vAlign w:val="center"/>
            <w:hideMark/>
          </w:tcPr>
          <w:p w14:paraId="29A7AB12" w14:textId="77777777" w:rsidR="008A1F61" w:rsidRPr="008A1F61" w:rsidRDefault="008A1F61" w:rsidP="008A1F61">
            <w:pPr>
              <w:spacing w:after="0" w:line="240" w:lineRule="auto"/>
              <w:rPr>
                <w:rFonts w:eastAsia="Times New Roman" w:cs="Arial"/>
                <w:color w:val="FFFFFF"/>
                <w:szCs w:val="24"/>
                <w:lang w:eastAsia="en-GB"/>
              </w:rPr>
            </w:pPr>
            <w:r w:rsidRPr="008A1F61">
              <w:rPr>
                <w:rFonts w:eastAsia="Times New Roman" w:cs="Arial"/>
                <w:color w:val="FFFFFF"/>
                <w:szCs w:val="24"/>
                <w:lang w:eastAsia="en-GB"/>
              </w:rPr>
              <w:t xml:space="preserve">Exclusive Right of Burial (Residents) </w:t>
            </w:r>
          </w:p>
        </w:tc>
      </w:tr>
      <w:tr w:rsidR="008A1F61" w:rsidRPr="008A1F61" w14:paraId="4353C82A" w14:textId="77777777" w:rsidTr="002E4366">
        <w:trPr>
          <w:tblHeader/>
        </w:trPr>
        <w:tc>
          <w:tcPr>
            <w:tcW w:w="9817" w:type="dxa"/>
            <w:gridSpan w:val="2"/>
            <w:tcBorders>
              <w:top w:val="single" w:sz="6" w:space="0" w:color="CCCCCC"/>
              <w:left w:val="single" w:sz="6" w:space="0" w:color="CCCCCC"/>
              <w:bottom w:val="single" w:sz="6" w:space="0" w:color="CCCCCC"/>
              <w:right w:val="single" w:sz="6" w:space="0" w:color="CCCCCC"/>
            </w:tcBorders>
            <w:shd w:val="clear" w:color="auto" w:fill="24A699"/>
            <w:tcMar>
              <w:top w:w="75" w:type="dxa"/>
              <w:left w:w="75" w:type="dxa"/>
              <w:bottom w:w="75" w:type="dxa"/>
              <w:right w:w="75" w:type="dxa"/>
            </w:tcMar>
            <w:vAlign w:val="center"/>
            <w:hideMark/>
          </w:tcPr>
          <w:p w14:paraId="4DA4C57E" w14:textId="77777777" w:rsidR="008A1F61" w:rsidRPr="008A1F61" w:rsidRDefault="008A1F61" w:rsidP="008A1F61">
            <w:pPr>
              <w:spacing w:after="0" w:line="240" w:lineRule="auto"/>
              <w:rPr>
                <w:rFonts w:eastAsia="Times New Roman" w:cs="Arial"/>
                <w:b/>
                <w:bCs/>
                <w:color w:val="FFFFFF"/>
                <w:szCs w:val="24"/>
                <w:lang w:eastAsia="en-GB"/>
              </w:rPr>
            </w:pPr>
            <w:r w:rsidRPr="008A1F61">
              <w:rPr>
                <w:rFonts w:eastAsia="Times New Roman" w:cs="Arial"/>
                <w:b/>
                <w:bCs/>
                <w:color w:val="FFFFFF"/>
                <w:szCs w:val="24"/>
                <w:lang w:eastAsia="en-GB"/>
              </w:rPr>
              <w:t>Service</w:t>
            </w:r>
          </w:p>
        </w:tc>
        <w:tc>
          <w:tcPr>
            <w:tcW w:w="1098" w:type="dxa"/>
            <w:tcBorders>
              <w:top w:val="single" w:sz="6" w:space="0" w:color="CCCCCC"/>
              <w:left w:val="single" w:sz="6" w:space="0" w:color="CCCCCC"/>
              <w:bottom w:val="single" w:sz="6" w:space="0" w:color="CCCCCC"/>
              <w:right w:val="single" w:sz="6" w:space="0" w:color="CCCCCC"/>
            </w:tcBorders>
            <w:shd w:val="clear" w:color="auto" w:fill="24A699"/>
            <w:tcMar>
              <w:top w:w="75" w:type="dxa"/>
              <w:left w:w="75" w:type="dxa"/>
              <w:bottom w:w="75" w:type="dxa"/>
              <w:right w:w="75" w:type="dxa"/>
            </w:tcMar>
            <w:vAlign w:val="center"/>
            <w:hideMark/>
          </w:tcPr>
          <w:p w14:paraId="453953E1" w14:textId="77777777" w:rsidR="008A1F61" w:rsidRPr="008A1F61" w:rsidRDefault="008A1F61" w:rsidP="008A1F61">
            <w:pPr>
              <w:spacing w:after="0" w:line="240" w:lineRule="auto"/>
              <w:rPr>
                <w:rFonts w:eastAsia="Times New Roman" w:cs="Arial"/>
                <w:b/>
                <w:bCs/>
                <w:color w:val="FFFFFF"/>
                <w:szCs w:val="24"/>
                <w:lang w:eastAsia="en-GB"/>
              </w:rPr>
            </w:pPr>
            <w:r w:rsidRPr="008A1F61">
              <w:rPr>
                <w:rFonts w:eastAsia="Times New Roman" w:cs="Arial"/>
                <w:b/>
                <w:bCs/>
                <w:color w:val="FFFFFF"/>
                <w:szCs w:val="24"/>
                <w:lang w:eastAsia="en-GB"/>
              </w:rPr>
              <w:t>Fee</w:t>
            </w:r>
          </w:p>
        </w:tc>
      </w:tr>
      <w:tr w:rsidR="008A1F61" w:rsidRPr="008A1F61" w14:paraId="4F00A0AB" w14:textId="77777777" w:rsidTr="008A1F61">
        <w:tc>
          <w:tcPr>
            <w:tcW w:w="9817" w:type="dxa"/>
            <w:gridSpan w:val="2"/>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0032BC8B"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A standard size earthen grave - 100 years lease</w:t>
            </w:r>
          </w:p>
        </w:tc>
        <w:tc>
          <w:tcPr>
            <w:tcW w:w="109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3577C656"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£785</w:t>
            </w:r>
          </w:p>
        </w:tc>
      </w:tr>
      <w:tr w:rsidR="008A1F61" w:rsidRPr="008A1F61" w14:paraId="4F87D9D5" w14:textId="77777777" w:rsidTr="008A1F61">
        <w:tc>
          <w:tcPr>
            <w:tcW w:w="9817" w:type="dxa"/>
            <w:gridSpan w:val="2"/>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662096A9"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A space set aside for the burial of cremated remains – 100 year lease</w:t>
            </w:r>
          </w:p>
        </w:tc>
        <w:tc>
          <w:tcPr>
            <w:tcW w:w="109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0B40C9BC"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£320</w:t>
            </w:r>
          </w:p>
        </w:tc>
      </w:tr>
      <w:tr w:rsidR="008A1F61" w:rsidRPr="008A1F61" w14:paraId="7F56EA78" w14:textId="77777777" w:rsidTr="008A1F61">
        <w:tc>
          <w:tcPr>
            <w:tcW w:w="9817" w:type="dxa"/>
            <w:gridSpan w:val="2"/>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29BCA47C"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 xml:space="preserve">A small grave specifically allocated for the burial of a child whose age at the time of death did not exceeded 17 years. </w:t>
            </w:r>
          </w:p>
          <w:p w14:paraId="44FEF64C" w14:textId="77777777" w:rsidR="008A1F61" w:rsidRPr="008A1F61" w:rsidRDefault="008A1F61" w:rsidP="008A1F61">
            <w:pPr>
              <w:shd w:val="clear" w:color="auto" w:fill="FFFFFF"/>
              <w:spacing w:after="0" w:line="240" w:lineRule="auto"/>
              <w:rPr>
                <w:rFonts w:eastAsia="Times New Roman" w:cs="Arial"/>
                <w:i/>
                <w:color w:val="333333"/>
                <w:szCs w:val="24"/>
                <w:lang w:eastAsia="en-GB"/>
              </w:rPr>
            </w:pPr>
            <w:r w:rsidRPr="008A1F61">
              <w:rPr>
                <w:rFonts w:eastAsia="Times New Roman" w:cs="Arial"/>
                <w:i/>
                <w:color w:val="333333"/>
                <w:szCs w:val="24"/>
                <w:lang w:eastAsia="en-GB"/>
              </w:rPr>
              <w:t>This fee will only be charged to the Children’s Funeral Fund and where reclaim is not possible the charge will not be passed to the family.</w:t>
            </w:r>
          </w:p>
        </w:tc>
        <w:tc>
          <w:tcPr>
            <w:tcW w:w="109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043BA5DE"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£110</w:t>
            </w:r>
          </w:p>
        </w:tc>
      </w:tr>
      <w:tr w:rsidR="008A1F61" w:rsidRPr="008A1F61" w14:paraId="19BE6CE1" w14:textId="77777777" w:rsidTr="008A1F61">
        <w:tc>
          <w:tcPr>
            <w:tcW w:w="9817" w:type="dxa"/>
            <w:gridSpan w:val="2"/>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446DFFF8"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 xml:space="preserve">For the right to construct a walled grave or vault in grave spaces </w:t>
            </w:r>
            <w:r>
              <w:rPr>
                <w:rFonts w:eastAsia="Times New Roman" w:cs="Arial"/>
                <w:color w:val="333333"/>
                <w:szCs w:val="24"/>
                <w:lang w:eastAsia="en-GB"/>
              </w:rPr>
              <w:t xml:space="preserve">where permitted </w:t>
            </w:r>
          </w:p>
        </w:tc>
        <w:tc>
          <w:tcPr>
            <w:tcW w:w="109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4B01A908"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Pr>
                <w:rFonts w:eastAsia="Times New Roman" w:cs="Arial"/>
                <w:color w:val="333333"/>
                <w:szCs w:val="24"/>
                <w:lang w:eastAsia="en-GB"/>
              </w:rPr>
              <w:t>£343</w:t>
            </w:r>
          </w:p>
        </w:tc>
      </w:tr>
      <w:tr w:rsidR="008A1F61" w:rsidRPr="008A1F61" w14:paraId="7DCF4F26" w14:textId="77777777" w:rsidTr="008A1F61">
        <w:trPr>
          <w:trHeight w:val="24"/>
        </w:trPr>
        <w:tc>
          <w:tcPr>
            <w:tcW w:w="9817" w:type="dxa"/>
            <w:gridSpan w:val="2"/>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3963A677"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 xml:space="preserve">Scattering of Ashes under turf in a purchased grave </w:t>
            </w:r>
          </w:p>
        </w:tc>
        <w:tc>
          <w:tcPr>
            <w:tcW w:w="109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3EF5FBF2"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£66</w:t>
            </w:r>
          </w:p>
        </w:tc>
      </w:tr>
      <w:tr w:rsidR="008A1F61" w:rsidRPr="008A1F61" w14:paraId="77D34999" w14:textId="77777777" w:rsidTr="008A1F61">
        <w:tc>
          <w:tcPr>
            <w:tcW w:w="9817" w:type="dxa"/>
            <w:gridSpan w:val="2"/>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151C55A6"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p>
        </w:tc>
        <w:tc>
          <w:tcPr>
            <w:tcW w:w="109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7B0E8A0F"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p>
        </w:tc>
      </w:tr>
      <w:tr w:rsidR="008A1F61" w:rsidRPr="008A1F61" w14:paraId="5C1CBE80" w14:textId="77777777" w:rsidTr="008A1F61">
        <w:tc>
          <w:tcPr>
            <w:tcW w:w="9817" w:type="dxa"/>
            <w:gridSpan w:val="2"/>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7FBB5F00"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Transfer of Exclusive Right of Burial Registers maintained by the Council.</w:t>
            </w:r>
          </w:p>
        </w:tc>
        <w:tc>
          <w:tcPr>
            <w:tcW w:w="109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52387CE8"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w:t>
            </w:r>
            <w:r>
              <w:rPr>
                <w:rFonts w:eastAsia="Times New Roman" w:cs="Arial"/>
                <w:color w:val="333333"/>
                <w:szCs w:val="24"/>
                <w:lang w:eastAsia="en-GB"/>
              </w:rPr>
              <w:t>30</w:t>
            </w:r>
          </w:p>
        </w:tc>
      </w:tr>
      <w:tr w:rsidR="008A1F61" w:rsidRPr="008A1F61" w14:paraId="3446FD5C" w14:textId="77777777" w:rsidTr="008A1F61">
        <w:tc>
          <w:tcPr>
            <w:tcW w:w="8364"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55C515C2"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Re-purchase of a</w:t>
            </w:r>
            <w:r>
              <w:rPr>
                <w:rFonts w:eastAsia="Times New Roman" w:cs="Arial"/>
                <w:color w:val="333333"/>
                <w:szCs w:val="24"/>
                <w:lang w:eastAsia="en-GB"/>
              </w:rPr>
              <w:t>n unused</w:t>
            </w:r>
            <w:r w:rsidRPr="008A1F61">
              <w:rPr>
                <w:rFonts w:eastAsia="Times New Roman" w:cs="Arial"/>
                <w:color w:val="333333"/>
                <w:szCs w:val="24"/>
                <w:lang w:eastAsia="en-GB"/>
              </w:rPr>
              <w:t xml:space="preserve"> grave space</w:t>
            </w:r>
            <w:r>
              <w:rPr>
                <w:rFonts w:eastAsia="Times New Roman" w:cs="Arial"/>
                <w:color w:val="333333"/>
                <w:szCs w:val="24"/>
                <w:lang w:eastAsia="en-GB"/>
              </w:rPr>
              <w:t xml:space="preserve"> </w:t>
            </w:r>
          </w:p>
        </w:tc>
        <w:tc>
          <w:tcPr>
            <w:tcW w:w="2551" w:type="dxa"/>
            <w:gridSpan w:val="2"/>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04E0847A" w14:textId="77777777" w:rsidR="008A1F61" w:rsidRPr="008A1F61" w:rsidRDefault="008A1F61" w:rsidP="008A1F61">
            <w:pPr>
              <w:shd w:val="clear" w:color="auto" w:fill="FFFFFF"/>
              <w:spacing w:after="0" w:line="240" w:lineRule="auto"/>
              <w:rPr>
                <w:rFonts w:eastAsia="Times New Roman" w:cs="Arial"/>
                <w:color w:val="333333"/>
                <w:szCs w:val="24"/>
                <w:lang w:eastAsia="en-GB"/>
              </w:rPr>
            </w:pPr>
            <w:r>
              <w:rPr>
                <w:rFonts w:eastAsia="Times New Roman" w:cs="Arial"/>
                <w:color w:val="333333"/>
                <w:szCs w:val="24"/>
                <w:lang w:eastAsia="en-GB"/>
              </w:rPr>
              <w:t>Amount originally paid – 15% admin fee</w:t>
            </w:r>
          </w:p>
        </w:tc>
      </w:tr>
    </w:tbl>
    <w:p w14:paraId="6FDBF5A6" w14:textId="77777777" w:rsidR="008A1F61" w:rsidRPr="008A1F61" w:rsidRDefault="008A1F61" w:rsidP="008A1F61">
      <w:pPr>
        <w:rPr>
          <w:rFonts w:cs="Arial"/>
          <w:b/>
        </w:rPr>
      </w:pPr>
      <w:r w:rsidRPr="008A1F61">
        <w:rPr>
          <w:rFonts w:cs="Arial"/>
          <w:b/>
        </w:rPr>
        <w:t xml:space="preserve">Interments conducted outside of normal cemetery hours are sometimes available subject to agreement and additional fees which are available on request. </w:t>
      </w:r>
    </w:p>
    <w:p w14:paraId="5B2EC453" w14:textId="51ADEFA8" w:rsidR="008A1F61" w:rsidRDefault="00D33A76" w:rsidP="008A1F61">
      <w:pPr>
        <w:rPr>
          <w:rFonts w:cs="Arial"/>
        </w:rPr>
      </w:pPr>
      <w:r>
        <w:rPr>
          <w:rFonts w:cs="Arial"/>
          <w:b/>
        </w:rPr>
        <w:t xml:space="preserve">* </w:t>
      </w:r>
      <w:r w:rsidR="008A1F61" w:rsidRPr="008A1F61">
        <w:rPr>
          <w:rFonts w:cs="Arial"/>
          <w:b/>
        </w:rPr>
        <w:t>The above fees are subject to be doubled in respect on non-residents of Westmorland and Furness Council</w:t>
      </w:r>
      <w:r w:rsidR="008A1F61">
        <w:rPr>
          <w:rFonts w:cs="Arial"/>
        </w:rPr>
        <w:t xml:space="preserve">. </w:t>
      </w:r>
    </w:p>
    <w:tbl>
      <w:tblPr>
        <w:tblpPr w:leftFromText="180" w:rightFromText="180" w:vertAnchor="page" w:horzAnchor="margin" w:tblpXSpec="center" w:tblpY="2161"/>
        <w:tblW w:w="10915" w:type="dxa"/>
        <w:tblCellMar>
          <w:top w:w="15" w:type="dxa"/>
          <w:left w:w="15" w:type="dxa"/>
          <w:bottom w:w="15" w:type="dxa"/>
          <w:right w:w="15" w:type="dxa"/>
        </w:tblCellMar>
        <w:tblLook w:val="04A0" w:firstRow="1" w:lastRow="0" w:firstColumn="1" w:lastColumn="0" w:noHBand="0" w:noVBand="1"/>
        <w:tblDescription w:val=""/>
      </w:tblPr>
      <w:tblGrid>
        <w:gridCol w:w="9817"/>
        <w:gridCol w:w="1098"/>
      </w:tblGrid>
      <w:tr w:rsidR="00D33A76" w:rsidRPr="008A1F61" w14:paraId="66057F2A" w14:textId="77777777" w:rsidTr="00D33A76">
        <w:trPr>
          <w:tblHeader/>
        </w:trPr>
        <w:tc>
          <w:tcPr>
            <w:tcW w:w="10915" w:type="dxa"/>
            <w:gridSpan w:val="2"/>
            <w:tcBorders>
              <w:top w:val="nil"/>
              <w:left w:val="nil"/>
              <w:bottom w:val="nil"/>
              <w:right w:val="nil"/>
            </w:tcBorders>
            <w:shd w:val="clear" w:color="auto" w:fill="24A699"/>
            <w:tcMar>
              <w:top w:w="75" w:type="dxa"/>
              <w:left w:w="75" w:type="dxa"/>
              <w:bottom w:w="75" w:type="dxa"/>
              <w:right w:w="75" w:type="dxa"/>
            </w:tcMar>
            <w:vAlign w:val="center"/>
            <w:hideMark/>
          </w:tcPr>
          <w:p w14:paraId="693309A2" w14:textId="36E5A265" w:rsidR="00D33A76" w:rsidRPr="008A1F61" w:rsidRDefault="00D33A76" w:rsidP="00D33A76">
            <w:pPr>
              <w:spacing w:after="0" w:line="240" w:lineRule="auto"/>
              <w:rPr>
                <w:rFonts w:eastAsia="Times New Roman" w:cs="Arial"/>
                <w:color w:val="FFFFFF"/>
                <w:szCs w:val="24"/>
                <w:lang w:eastAsia="en-GB"/>
              </w:rPr>
            </w:pPr>
            <w:r>
              <w:rPr>
                <w:rFonts w:eastAsia="Times New Roman" w:cs="Arial"/>
                <w:color w:val="FFFFFF"/>
                <w:szCs w:val="24"/>
                <w:lang w:eastAsia="en-GB"/>
              </w:rPr>
              <w:lastRenderedPageBreak/>
              <w:t xml:space="preserve">Cremation Fees </w:t>
            </w:r>
          </w:p>
        </w:tc>
      </w:tr>
      <w:tr w:rsidR="00D33A76" w:rsidRPr="008A1F61" w14:paraId="09F80514" w14:textId="77777777" w:rsidTr="00D33A76">
        <w:trPr>
          <w:tblHeader/>
        </w:trPr>
        <w:tc>
          <w:tcPr>
            <w:tcW w:w="9817" w:type="dxa"/>
            <w:tcBorders>
              <w:top w:val="single" w:sz="6" w:space="0" w:color="CCCCCC"/>
              <w:left w:val="single" w:sz="6" w:space="0" w:color="CCCCCC"/>
              <w:bottom w:val="single" w:sz="6" w:space="0" w:color="CCCCCC"/>
              <w:right w:val="single" w:sz="6" w:space="0" w:color="CCCCCC"/>
            </w:tcBorders>
            <w:shd w:val="clear" w:color="auto" w:fill="24A699"/>
            <w:tcMar>
              <w:top w:w="75" w:type="dxa"/>
              <w:left w:w="75" w:type="dxa"/>
              <w:bottom w:w="75" w:type="dxa"/>
              <w:right w:w="75" w:type="dxa"/>
            </w:tcMar>
            <w:vAlign w:val="center"/>
            <w:hideMark/>
          </w:tcPr>
          <w:p w14:paraId="7BEC5D00" w14:textId="77777777" w:rsidR="00D33A76" w:rsidRPr="008A1F61" w:rsidRDefault="00D33A76" w:rsidP="00D33A76">
            <w:pPr>
              <w:spacing w:after="0" w:line="240" w:lineRule="auto"/>
              <w:rPr>
                <w:rFonts w:eastAsia="Times New Roman" w:cs="Arial"/>
                <w:b/>
                <w:bCs/>
                <w:color w:val="FFFFFF"/>
                <w:szCs w:val="24"/>
                <w:lang w:eastAsia="en-GB"/>
              </w:rPr>
            </w:pPr>
            <w:r w:rsidRPr="008A1F61">
              <w:rPr>
                <w:rFonts w:eastAsia="Times New Roman" w:cs="Arial"/>
                <w:b/>
                <w:bCs/>
                <w:color w:val="FFFFFF"/>
                <w:szCs w:val="24"/>
                <w:lang w:eastAsia="en-GB"/>
              </w:rPr>
              <w:t>Service</w:t>
            </w:r>
          </w:p>
        </w:tc>
        <w:tc>
          <w:tcPr>
            <w:tcW w:w="1098" w:type="dxa"/>
            <w:tcBorders>
              <w:top w:val="single" w:sz="6" w:space="0" w:color="CCCCCC"/>
              <w:left w:val="single" w:sz="6" w:space="0" w:color="CCCCCC"/>
              <w:bottom w:val="single" w:sz="6" w:space="0" w:color="CCCCCC"/>
              <w:right w:val="single" w:sz="6" w:space="0" w:color="CCCCCC"/>
            </w:tcBorders>
            <w:shd w:val="clear" w:color="auto" w:fill="24A699"/>
            <w:tcMar>
              <w:top w:w="75" w:type="dxa"/>
              <w:left w:w="75" w:type="dxa"/>
              <w:bottom w:w="75" w:type="dxa"/>
              <w:right w:w="75" w:type="dxa"/>
            </w:tcMar>
            <w:vAlign w:val="center"/>
            <w:hideMark/>
          </w:tcPr>
          <w:p w14:paraId="35B8B4AC" w14:textId="77777777" w:rsidR="00D33A76" w:rsidRPr="008A1F61" w:rsidRDefault="00D33A76" w:rsidP="00D33A76">
            <w:pPr>
              <w:spacing w:after="0" w:line="240" w:lineRule="auto"/>
              <w:rPr>
                <w:rFonts w:eastAsia="Times New Roman" w:cs="Arial"/>
                <w:b/>
                <w:bCs/>
                <w:color w:val="FFFFFF"/>
                <w:szCs w:val="24"/>
                <w:lang w:eastAsia="en-GB"/>
              </w:rPr>
            </w:pPr>
            <w:r w:rsidRPr="008A1F61">
              <w:rPr>
                <w:rFonts w:eastAsia="Times New Roman" w:cs="Arial"/>
                <w:b/>
                <w:bCs/>
                <w:color w:val="FFFFFF"/>
                <w:szCs w:val="24"/>
                <w:lang w:eastAsia="en-GB"/>
              </w:rPr>
              <w:t>Fee</w:t>
            </w:r>
          </w:p>
        </w:tc>
      </w:tr>
      <w:tr w:rsidR="00D33A76" w:rsidRPr="008A1F61" w14:paraId="60CA4B3F" w14:textId="77777777" w:rsidTr="00D33A76">
        <w:tc>
          <w:tcPr>
            <w:tcW w:w="981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0AE77489" w14:textId="4B333561" w:rsidR="00D33A76" w:rsidRPr="008A1F61" w:rsidRDefault="00D33A76" w:rsidP="00D33A76">
            <w:pPr>
              <w:shd w:val="clear" w:color="auto" w:fill="FFFFFF"/>
              <w:spacing w:after="0" w:line="240" w:lineRule="auto"/>
              <w:rPr>
                <w:rFonts w:eastAsia="Times New Roman" w:cs="Arial"/>
                <w:color w:val="333333"/>
                <w:szCs w:val="24"/>
                <w:lang w:eastAsia="en-GB"/>
              </w:rPr>
            </w:pPr>
            <w:r>
              <w:rPr>
                <w:rFonts w:eastAsia="Times New Roman" w:cs="Arial"/>
                <w:color w:val="333333"/>
                <w:szCs w:val="24"/>
                <w:lang w:eastAsia="en-GB"/>
              </w:rPr>
              <w:t xml:space="preserve">Person over 16 years </w:t>
            </w:r>
          </w:p>
        </w:tc>
        <w:tc>
          <w:tcPr>
            <w:tcW w:w="109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6C6E5BF2" w14:textId="3DDEA407" w:rsidR="00D33A76" w:rsidRPr="008A1F61" w:rsidRDefault="00D33A76" w:rsidP="00D33A76">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w:t>
            </w:r>
            <w:r>
              <w:rPr>
                <w:rFonts w:eastAsia="Times New Roman" w:cs="Arial"/>
                <w:color w:val="333333"/>
                <w:szCs w:val="24"/>
                <w:lang w:eastAsia="en-GB"/>
              </w:rPr>
              <w:t>916</w:t>
            </w:r>
          </w:p>
        </w:tc>
      </w:tr>
      <w:tr w:rsidR="00D33A76" w:rsidRPr="008A1F61" w14:paraId="43EAD440" w14:textId="77777777" w:rsidTr="00D33A76">
        <w:tc>
          <w:tcPr>
            <w:tcW w:w="981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05692D58" w14:textId="6D476551" w:rsidR="00D33A76" w:rsidRPr="008A1F61" w:rsidRDefault="00D33A76" w:rsidP="00D33A76">
            <w:pPr>
              <w:shd w:val="clear" w:color="auto" w:fill="FFFFFF"/>
              <w:spacing w:after="0" w:line="240" w:lineRule="auto"/>
              <w:rPr>
                <w:rFonts w:eastAsia="Times New Roman" w:cs="Arial"/>
                <w:i/>
                <w:color w:val="333333"/>
                <w:szCs w:val="24"/>
                <w:lang w:eastAsia="en-GB"/>
              </w:rPr>
            </w:pPr>
            <w:r w:rsidRPr="00D33A76">
              <w:rPr>
                <w:rFonts w:eastAsia="Times New Roman" w:cs="Arial"/>
                <w:color w:val="333333"/>
                <w:szCs w:val="24"/>
                <w:lang w:eastAsia="en-GB"/>
              </w:rPr>
              <w:t>Direct Cremation (including Medical Referee Fee &amp; Environmental Levy)</w:t>
            </w:r>
          </w:p>
        </w:tc>
        <w:tc>
          <w:tcPr>
            <w:tcW w:w="109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2EFD3BC6" w14:textId="681893D5" w:rsidR="00D33A76" w:rsidRPr="008A1F61" w:rsidRDefault="00D33A76" w:rsidP="00D33A76">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w:t>
            </w:r>
            <w:r>
              <w:rPr>
                <w:rFonts w:eastAsia="Times New Roman" w:cs="Arial"/>
                <w:color w:val="333333"/>
                <w:szCs w:val="24"/>
                <w:lang w:eastAsia="en-GB"/>
              </w:rPr>
              <w:t>557</w:t>
            </w:r>
          </w:p>
        </w:tc>
      </w:tr>
      <w:tr w:rsidR="00292E35" w:rsidRPr="008A1F61" w14:paraId="705BD1C7" w14:textId="77777777" w:rsidTr="00D33A76">
        <w:tc>
          <w:tcPr>
            <w:tcW w:w="9817"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574CD7DB" w14:textId="2917A5E9" w:rsidR="00292E35" w:rsidRPr="00D33A76" w:rsidRDefault="00292E35" w:rsidP="00D33A76">
            <w:pPr>
              <w:shd w:val="clear" w:color="auto" w:fill="FFFFFF"/>
              <w:spacing w:after="0" w:line="240" w:lineRule="auto"/>
              <w:rPr>
                <w:rFonts w:eastAsia="Times New Roman" w:cs="Arial"/>
                <w:color w:val="333333"/>
                <w:szCs w:val="24"/>
                <w:lang w:eastAsia="en-GB"/>
              </w:rPr>
            </w:pPr>
            <w:r>
              <w:rPr>
                <w:rFonts w:eastAsia="Times New Roman" w:cs="Arial"/>
                <w:color w:val="333333"/>
                <w:szCs w:val="24"/>
                <w:lang w:eastAsia="en-GB"/>
              </w:rPr>
              <w:t xml:space="preserve">Cremation of Body Parts, Blocks &amp; Slides </w:t>
            </w:r>
          </w:p>
        </w:tc>
        <w:tc>
          <w:tcPr>
            <w:tcW w:w="1098"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3A01C127" w14:textId="22185C99" w:rsidR="00292E35" w:rsidRPr="008A1F61" w:rsidRDefault="00292E35" w:rsidP="00D33A76">
            <w:pPr>
              <w:shd w:val="clear" w:color="auto" w:fill="FFFFFF"/>
              <w:spacing w:after="0" w:line="240" w:lineRule="auto"/>
              <w:rPr>
                <w:rFonts w:eastAsia="Times New Roman" w:cs="Arial"/>
                <w:color w:val="333333"/>
                <w:szCs w:val="24"/>
                <w:lang w:eastAsia="en-GB"/>
              </w:rPr>
            </w:pPr>
            <w:r>
              <w:rPr>
                <w:rFonts w:eastAsia="Times New Roman" w:cs="Arial"/>
                <w:color w:val="333333"/>
                <w:szCs w:val="24"/>
                <w:lang w:eastAsia="en-GB"/>
              </w:rPr>
              <w:t>£24</w:t>
            </w:r>
          </w:p>
        </w:tc>
      </w:tr>
    </w:tbl>
    <w:p w14:paraId="696B4458" w14:textId="2251508D" w:rsidR="008A1F61" w:rsidRDefault="008A1F61" w:rsidP="008A1F61">
      <w:pPr>
        <w:rPr>
          <w:rFonts w:cs="Arial"/>
        </w:rPr>
      </w:pPr>
    </w:p>
    <w:p w14:paraId="452AB146" w14:textId="3741BF35" w:rsidR="002E4366" w:rsidRDefault="00D33A76" w:rsidP="002E4366">
      <w:pPr>
        <w:rPr>
          <w:rFonts w:cs="Arial"/>
        </w:rPr>
      </w:pPr>
      <w:r>
        <w:rPr>
          <w:rFonts w:cs="Arial"/>
        </w:rPr>
        <w:t xml:space="preserve">* </w:t>
      </w:r>
      <w:r w:rsidR="002E4366" w:rsidRPr="002E4366">
        <w:rPr>
          <w:rFonts w:cs="Arial"/>
        </w:rPr>
        <w:t>To qualify for the resident rate the deceased person must have been resident within the authority area at the time of their death. This may be checked using internal council data such as Council Tax records and/or the electoral roll.</w:t>
      </w:r>
      <w:r w:rsidR="002E4366">
        <w:rPr>
          <w:rFonts w:cs="Arial"/>
        </w:rPr>
        <w:t xml:space="preserve"> </w:t>
      </w:r>
    </w:p>
    <w:p w14:paraId="6C323B7E" w14:textId="06E377CA" w:rsidR="002E4366" w:rsidRDefault="002E4366" w:rsidP="002E4366">
      <w:pPr>
        <w:rPr>
          <w:rFonts w:cs="Arial"/>
        </w:rPr>
      </w:pPr>
      <w:r w:rsidRPr="002E4366">
        <w:rPr>
          <w:rFonts w:cs="Arial"/>
        </w:rPr>
        <w:t>This may be waived in cases where an ex-resident left the locality for care reasons or where exceptional circumstances exist. The council reserves the right to ask for evidence of such circumstances</w:t>
      </w:r>
    </w:p>
    <w:p w14:paraId="5F772A0B" w14:textId="69F3C9F8" w:rsidR="002E4366" w:rsidRDefault="002E4366" w:rsidP="002E4366">
      <w:pPr>
        <w:rPr>
          <w:rFonts w:cs="Arial"/>
        </w:rPr>
      </w:pPr>
      <w:r w:rsidRPr="002E4366">
        <w:rPr>
          <w:rFonts w:cs="Arial"/>
        </w:rPr>
        <w:t xml:space="preserve">Where the individual being interred is classed as non-resident double the usual rate will be applied to Interment and Grant of Exclusive Right of Burial Fees.  </w:t>
      </w:r>
    </w:p>
    <w:tbl>
      <w:tblPr>
        <w:tblpPr w:leftFromText="180" w:rightFromText="180" w:vertAnchor="page" w:horzAnchor="margin" w:tblpXSpec="center" w:tblpY="8835"/>
        <w:tblW w:w="10915" w:type="dxa"/>
        <w:tblCellMar>
          <w:top w:w="15" w:type="dxa"/>
          <w:left w:w="15" w:type="dxa"/>
          <w:bottom w:w="15" w:type="dxa"/>
          <w:right w:w="15" w:type="dxa"/>
        </w:tblCellMar>
        <w:tblLook w:val="04A0" w:firstRow="1" w:lastRow="0" w:firstColumn="1" w:lastColumn="0" w:noHBand="0" w:noVBand="1"/>
        <w:tblDescription w:val=""/>
      </w:tblPr>
      <w:tblGrid>
        <w:gridCol w:w="9072"/>
        <w:gridCol w:w="709"/>
        <w:gridCol w:w="1134"/>
      </w:tblGrid>
      <w:tr w:rsidR="0015633F" w:rsidRPr="008A1F61" w14:paraId="0B00005E" w14:textId="77777777" w:rsidTr="0015633F">
        <w:trPr>
          <w:tblHeader/>
        </w:trPr>
        <w:tc>
          <w:tcPr>
            <w:tcW w:w="10915" w:type="dxa"/>
            <w:gridSpan w:val="3"/>
            <w:tcBorders>
              <w:top w:val="nil"/>
              <w:left w:val="nil"/>
              <w:bottom w:val="nil"/>
              <w:right w:val="nil"/>
            </w:tcBorders>
            <w:shd w:val="clear" w:color="auto" w:fill="24A699"/>
            <w:tcMar>
              <w:top w:w="75" w:type="dxa"/>
              <w:left w:w="75" w:type="dxa"/>
              <w:bottom w:w="75" w:type="dxa"/>
              <w:right w:w="75" w:type="dxa"/>
            </w:tcMar>
            <w:vAlign w:val="center"/>
            <w:hideMark/>
          </w:tcPr>
          <w:p w14:paraId="6930AA3E" w14:textId="7C95C7BA" w:rsidR="0015633F" w:rsidRPr="008A1F61" w:rsidRDefault="0015633F" w:rsidP="0015633F">
            <w:pPr>
              <w:spacing w:after="0" w:line="240" w:lineRule="auto"/>
              <w:rPr>
                <w:rFonts w:eastAsia="Times New Roman" w:cs="Arial"/>
                <w:color w:val="FFFFFF"/>
                <w:szCs w:val="24"/>
                <w:lang w:eastAsia="en-GB"/>
              </w:rPr>
            </w:pPr>
            <w:r>
              <w:rPr>
                <w:rFonts w:eastAsia="Times New Roman" w:cs="Arial"/>
                <w:color w:val="FFFFFF"/>
                <w:szCs w:val="24"/>
                <w:lang w:eastAsia="en-GB"/>
              </w:rPr>
              <w:t xml:space="preserve">Miscellaneous Fees </w:t>
            </w:r>
          </w:p>
        </w:tc>
      </w:tr>
      <w:tr w:rsidR="0015633F" w:rsidRPr="008A1F61" w14:paraId="2C3D19C7" w14:textId="77777777" w:rsidTr="0015633F">
        <w:trPr>
          <w:tblHeader/>
        </w:trPr>
        <w:tc>
          <w:tcPr>
            <w:tcW w:w="9781" w:type="dxa"/>
            <w:gridSpan w:val="2"/>
            <w:tcBorders>
              <w:top w:val="single" w:sz="6" w:space="0" w:color="CCCCCC"/>
              <w:left w:val="single" w:sz="6" w:space="0" w:color="CCCCCC"/>
              <w:bottom w:val="single" w:sz="6" w:space="0" w:color="CCCCCC"/>
              <w:right w:val="single" w:sz="6" w:space="0" w:color="CCCCCC"/>
            </w:tcBorders>
            <w:shd w:val="clear" w:color="auto" w:fill="24A699"/>
            <w:tcMar>
              <w:top w:w="75" w:type="dxa"/>
              <w:left w:w="75" w:type="dxa"/>
              <w:bottom w:w="75" w:type="dxa"/>
              <w:right w:w="75" w:type="dxa"/>
            </w:tcMar>
            <w:vAlign w:val="center"/>
            <w:hideMark/>
          </w:tcPr>
          <w:p w14:paraId="1A1AC295" w14:textId="77777777" w:rsidR="0015633F" w:rsidRPr="008A1F61" w:rsidRDefault="0015633F" w:rsidP="0015633F">
            <w:pPr>
              <w:spacing w:after="0" w:line="240" w:lineRule="auto"/>
              <w:rPr>
                <w:rFonts w:eastAsia="Times New Roman" w:cs="Arial"/>
                <w:b/>
                <w:bCs/>
                <w:color w:val="FFFFFF"/>
                <w:szCs w:val="24"/>
                <w:lang w:eastAsia="en-GB"/>
              </w:rPr>
            </w:pPr>
            <w:r w:rsidRPr="008A1F61">
              <w:rPr>
                <w:rFonts w:eastAsia="Times New Roman" w:cs="Arial"/>
                <w:b/>
                <w:bCs/>
                <w:color w:val="FFFFFF"/>
                <w:szCs w:val="24"/>
                <w:lang w:eastAsia="en-GB"/>
              </w:rPr>
              <w:t>Service</w:t>
            </w:r>
          </w:p>
        </w:tc>
        <w:tc>
          <w:tcPr>
            <w:tcW w:w="1134" w:type="dxa"/>
            <w:tcBorders>
              <w:top w:val="single" w:sz="6" w:space="0" w:color="CCCCCC"/>
              <w:left w:val="single" w:sz="6" w:space="0" w:color="CCCCCC"/>
              <w:bottom w:val="single" w:sz="6" w:space="0" w:color="CCCCCC"/>
              <w:right w:val="single" w:sz="6" w:space="0" w:color="CCCCCC"/>
            </w:tcBorders>
            <w:shd w:val="clear" w:color="auto" w:fill="24A699"/>
            <w:tcMar>
              <w:top w:w="75" w:type="dxa"/>
              <w:left w:w="75" w:type="dxa"/>
              <w:bottom w:w="75" w:type="dxa"/>
              <w:right w:w="75" w:type="dxa"/>
            </w:tcMar>
            <w:vAlign w:val="center"/>
            <w:hideMark/>
          </w:tcPr>
          <w:p w14:paraId="0FA79CF5" w14:textId="77777777" w:rsidR="0015633F" w:rsidRPr="008A1F61" w:rsidRDefault="0015633F" w:rsidP="0015633F">
            <w:pPr>
              <w:spacing w:after="0" w:line="240" w:lineRule="auto"/>
              <w:rPr>
                <w:rFonts w:eastAsia="Times New Roman" w:cs="Arial"/>
                <w:b/>
                <w:bCs/>
                <w:color w:val="FFFFFF"/>
                <w:szCs w:val="24"/>
                <w:lang w:eastAsia="en-GB"/>
              </w:rPr>
            </w:pPr>
            <w:r w:rsidRPr="008A1F61">
              <w:rPr>
                <w:rFonts w:eastAsia="Times New Roman" w:cs="Arial"/>
                <w:b/>
                <w:bCs/>
                <w:color w:val="FFFFFF"/>
                <w:szCs w:val="24"/>
                <w:lang w:eastAsia="en-GB"/>
              </w:rPr>
              <w:t>Fee</w:t>
            </w:r>
          </w:p>
        </w:tc>
      </w:tr>
      <w:tr w:rsidR="0015633F" w:rsidRPr="008A1F61" w14:paraId="496D8CED" w14:textId="77777777" w:rsidTr="0015633F">
        <w:tc>
          <w:tcPr>
            <w:tcW w:w="9781" w:type="dxa"/>
            <w:gridSpan w:val="2"/>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3F12B8AA" w14:textId="40415BDE" w:rsidR="0015633F" w:rsidRPr="008A1F61" w:rsidRDefault="0015633F" w:rsidP="0015633F">
            <w:pPr>
              <w:shd w:val="clear" w:color="auto" w:fill="FFFFFF"/>
              <w:spacing w:after="0" w:line="240" w:lineRule="auto"/>
              <w:rPr>
                <w:rFonts w:eastAsia="Times New Roman" w:cs="Arial"/>
                <w:color w:val="333333"/>
                <w:szCs w:val="24"/>
                <w:lang w:eastAsia="en-GB"/>
              </w:rPr>
            </w:pPr>
            <w:r w:rsidRPr="0015633F">
              <w:rPr>
                <w:rFonts w:eastAsia="Times New Roman" w:cs="Arial"/>
                <w:color w:val="333333"/>
                <w:szCs w:val="24"/>
                <w:lang w:eastAsia="en-GB"/>
              </w:rPr>
              <w:t>Administration Fee</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4C4335A3" w14:textId="68AA665D" w:rsidR="0015633F" w:rsidRPr="008A1F61" w:rsidRDefault="0015633F" w:rsidP="0015633F">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w:t>
            </w:r>
            <w:r>
              <w:rPr>
                <w:rFonts w:eastAsia="Times New Roman" w:cs="Arial"/>
                <w:color w:val="333333"/>
                <w:szCs w:val="24"/>
                <w:lang w:eastAsia="en-GB"/>
              </w:rPr>
              <w:t>41</w:t>
            </w:r>
          </w:p>
        </w:tc>
      </w:tr>
      <w:tr w:rsidR="0015633F" w:rsidRPr="008A1F61" w14:paraId="7986310D" w14:textId="77777777" w:rsidTr="0015633F">
        <w:tc>
          <w:tcPr>
            <w:tcW w:w="9781" w:type="dxa"/>
            <w:gridSpan w:val="2"/>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0AC42A5B" w14:textId="6655C3CF" w:rsidR="0015633F" w:rsidRPr="008A1F61" w:rsidRDefault="0015633F" w:rsidP="0015633F">
            <w:pPr>
              <w:shd w:val="clear" w:color="auto" w:fill="FFFFFF"/>
              <w:spacing w:after="0" w:line="240" w:lineRule="auto"/>
              <w:rPr>
                <w:rFonts w:eastAsia="Times New Roman" w:cs="Arial"/>
                <w:i/>
                <w:color w:val="333333"/>
                <w:szCs w:val="24"/>
                <w:lang w:eastAsia="en-GB"/>
              </w:rPr>
            </w:pPr>
            <w:r w:rsidRPr="0015633F">
              <w:rPr>
                <w:rFonts w:eastAsia="Times New Roman" w:cs="Arial"/>
                <w:color w:val="333333"/>
                <w:szCs w:val="24"/>
                <w:lang w:eastAsia="en-GB"/>
              </w:rPr>
              <w:t>For a search and a certified copy of an entry in any of the Cemetery Registers maintained by the Council</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hideMark/>
          </w:tcPr>
          <w:p w14:paraId="229998C3" w14:textId="629533EC" w:rsidR="0015633F" w:rsidRPr="008A1F61" w:rsidRDefault="0015633F" w:rsidP="0015633F">
            <w:pPr>
              <w:shd w:val="clear" w:color="auto" w:fill="FFFFFF"/>
              <w:spacing w:after="0" w:line="240" w:lineRule="auto"/>
              <w:rPr>
                <w:rFonts w:eastAsia="Times New Roman" w:cs="Arial"/>
                <w:color w:val="333333"/>
                <w:szCs w:val="24"/>
                <w:lang w:eastAsia="en-GB"/>
              </w:rPr>
            </w:pPr>
            <w:r w:rsidRPr="008A1F61">
              <w:rPr>
                <w:rFonts w:eastAsia="Times New Roman" w:cs="Arial"/>
                <w:color w:val="333333"/>
                <w:szCs w:val="24"/>
                <w:lang w:eastAsia="en-GB"/>
              </w:rPr>
              <w:t>£</w:t>
            </w:r>
            <w:r>
              <w:rPr>
                <w:rFonts w:eastAsia="Times New Roman" w:cs="Arial"/>
                <w:color w:val="333333"/>
                <w:szCs w:val="24"/>
                <w:lang w:eastAsia="en-GB"/>
              </w:rPr>
              <w:t>29</w:t>
            </w:r>
          </w:p>
        </w:tc>
      </w:tr>
      <w:tr w:rsidR="0015633F" w:rsidRPr="008A1F61" w14:paraId="6D9B7BA6" w14:textId="77777777" w:rsidTr="0015633F">
        <w:tc>
          <w:tcPr>
            <w:tcW w:w="9781" w:type="dxa"/>
            <w:gridSpan w:val="2"/>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2C14B31D" w14:textId="15494425" w:rsidR="0015633F" w:rsidRPr="00D33A76" w:rsidRDefault="0015633F" w:rsidP="0015633F">
            <w:pPr>
              <w:shd w:val="clear" w:color="auto" w:fill="FFFFFF"/>
              <w:spacing w:after="0" w:line="240" w:lineRule="auto"/>
              <w:rPr>
                <w:rFonts w:eastAsia="Times New Roman" w:cs="Arial"/>
                <w:color w:val="333333"/>
                <w:szCs w:val="24"/>
                <w:lang w:eastAsia="en-GB"/>
              </w:rPr>
            </w:pPr>
            <w:r w:rsidRPr="0015633F">
              <w:rPr>
                <w:rFonts w:eastAsia="Times New Roman" w:cs="Arial"/>
                <w:color w:val="333333"/>
                <w:szCs w:val="24"/>
                <w:lang w:eastAsia="en-GB"/>
              </w:rPr>
              <w:t>Searching the Registers per hour, after the first hour.</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31282EE3" w14:textId="17C88D4A" w:rsidR="0015633F" w:rsidRPr="008A1F61" w:rsidRDefault="0015633F" w:rsidP="0015633F">
            <w:pPr>
              <w:shd w:val="clear" w:color="auto" w:fill="FFFFFF"/>
              <w:spacing w:after="0" w:line="240" w:lineRule="auto"/>
              <w:rPr>
                <w:rFonts w:eastAsia="Times New Roman" w:cs="Arial"/>
                <w:color w:val="333333"/>
                <w:szCs w:val="24"/>
                <w:lang w:eastAsia="en-GB"/>
              </w:rPr>
            </w:pPr>
            <w:r>
              <w:rPr>
                <w:rFonts w:eastAsia="Times New Roman" w:cs="Arial"/>
                <w:color w:val="333333"/>
                <w:szCs w:val="24"/>
                <w:lang w:eastAsia="en-GB"/>
              </w:rPr>
              <w:t>£22</w:t>
            </w:r>
          </w:p>
        </w:tc>
      </w:tr>
      <w:tr w:rsidR="0015633F" w:rsidRPr="008A1F61" w14:paraId="46B329D0" w14:textId="77777777" w:rsidTr="0015633F">
        <w:tc>
          <w:tcPr>
            <w:tcW w:w="9781" w:type="dxa"/>
            <w:gridSpan w:val="2"/>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31FFC20E" w14:textId="77777777" w:rsidR="0015633F" w:rsidRDefault="0015633F" w:rsidP="0015633F">
            <w:pPr>
              <w:shd w:val="clear" w:color="auto" w:fill="FFFFFF"/>
              <w:spacing w:after="0" w:line="240" w:lineRule="auto"/>
              <w:rPr>
                <w:rFonts w:eastAsia="Times New Roman" w:cs="Arial"/>
                <w:color w:val="333333"/>
                <w:szCs w:val="24"/>
                <w:lang w:eastAsia="en-GB"/>
              </w:rPr>
            </w:pPr>
            <w:r>
              <w:rPr>
                <w:rFonts w:eastAsia="Times New Roman" w:cs="Arial"/>
                <w:color w:val="333333"/>
                <w:szCs w:val="24"/>
                <w:lang w:eastAsia="en-GB"/>
              </w:rPr>
              <w:t xml:space="preserve">Use of Cemetery Chapel </w:t>
            </w:r>
          </w:p>
          <w:p w14:paraId="4046D71E" w14:textId="77777777" w:rsidR="0015633F" w:rsidRDefault="0015633F" w:rsidP="0015633F">
            <w:pPr>
              <w:pStyle w:val="ListParagraph"/>
              <w:numPr>
                <w:ilvl w:val="0"/>
                <w:numId w:val="3"/>
              </w:numPr>
              <w:shd w:val="clear" w:color="auto" w:fill="FFFFFF"/>
              <w:spacing w:after="0" w:line="240" w:lineRule="auto"/>
              <w:rPr>
                <w:rFonts w:eastAsia="Times New Roman" w:cs="Arial"/>
                <w:color w:val="333333"/>
                <w:szCs w:val="24"/>
                <w:lang w:eastAsia="en-GB"/>
              </w:rPr>
            </w:pPr>
            <w:r>
              <w:rPr>
                <w:rFonts w:eastAsia="Times New Roman" w:cs="Arial"/>
                <w:color w:val="333333"/>
                <w:szCs w:val="24"/>
                <w:lang w:eastAsia="en-GB"/>
              </w:rPr>
              <w:t xml:space="preserve">Kendal </w:t>
            </w:r>
          </w:p>
          <w:p w14:paraId="1E0CB16C" w14:textId="09733C8C" w:rsidR="0015633F" w:rsidRPr="0015633F" w:rsidRDefault="0015633F" w:rsidP="0015633F">
            <w:pPr>
              <w:pStyle w:val="ListParagraph"/>
              <w:numPr>
                <w:ilvl w:val="0"/>
                <w:numId w:val="3"/>
              </w:numPr>
              <w:shd w:val="clear" w:color="auto" w:fill="FFFFFF"/>
              <w:spacing w:after="0" w:line="240" w:lineRule="auto"/>
              <w:rPr>
                <w:rFonts w:eastAsia="Times New Roman" w:cs="Arial"/>
                <w:color w:val="333333"/>
                <w:szCs w:val="24"/>
                <w:lang w:eastAsia="en-GB"/>
              </w:rPr>
            </w:pPr>
            <w:r>
              <w:rPr>
                <w:rFonts w:eastAsia="Times New Roman" w:cs="Arial"/>
                <w:color w:val="333333"/>
                <w:szCs w:val="24"/>
                <w:lang w:eastAsia="en-GB"/>
              </w:rPr>
              <w:t>Ulverston</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67FF42D1" w14:textId="20EECCEE" w:rsidR="0015633F" w:rsidRDefault="0015633F" w:rsidP="0015633F">
            <w:pPr>
              <w:shd w:val="clear" w:color="auto" w:fill="FFFFFF"/>
              <w:spacing w:after="0" w:line="240" w:lineRule="auto"/>
              <w:rPr>
                <w:rFonts w:eastAsia="Times New Roman" w:cs="Arial"/>
                <w:color w:val="333333"/>
                <w:szCs w:val="24"/>
                <w:lang w:eastAsia="en-GB"/>
              </w:rPr>
            </w:pPr>
            <w:r>
              <w:rPr>
                <w:rFonts w:eastAsia="Times New Roman" w:cs="Arial"/>
                <w:color w:val="333333"/>
                <w:szCs w:val="24"/>
                <w:lang w:eastAsia="en-GB"/>
              </w:rPr>
              <w:t>£99</w:t>
            </w:r>
          </w:p>
        </w:tc>
      </w:tr>
      <w:tr w:rsidR="0015633F" w:rsidRPr="008A1F61" w14:paraId="350AE305" w14:textId="77777777" w:rsidTr="0015633F">
        <w:tc>
          <w:tcPr>
            <w:tcW w:w="9781" w:type="dxa"/>
            <w:gridSpan w:val="2"/>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79735684" w14:textId="77777777" w:rsidR="0015633F" w:rsidRDefault="0015633F" w:rsidP="0015633F">
            <w:pPr>
              <w:shd w:val="clear" w:color="auto" w:fill="FFFFFF"/>
              <w:spacing w:after="0" w:line="240" w:lineRule="auto"/>
              <w:rPr>
                <w:rFonts w:eastAsia="Times New Roman" w:cs="Arial"/>
                <w:color w:val="333333"/>
                <w:szCs w:val="24"/>
                <w:lang w:eastAsia="en-GB"/>
              </w:rPr>
            </w:pPr>
            <w:r>
              <w:rPr>
                <w:rFonts w:eastAsia="Times New Roman" w:cs="Arial"/>
                <w:color w:val="333333"/>
                <w:szCs w:val="24"/>
                <w:lang w:eastAsia="en-GB"/>
              </w:rPr>
              <w:t>Use of Crematorium Chapel for a Service</w:t>
            </w:r>
          </w:p>
          <w:p w14:paraId="3AA1733C" w14:textId="36EC4EF5" w:rsidR="0015633F" w:rsidRPr="0015633F" w:rsidRDefault="0015633F" w:rsidP="0015633F">
            <w:pPr>
              <w:pStyle w:val="ListParagraph"/>
              <w:numPr>
                <w:ilvl w:val="0"/>
                <w:numId w:val="3"/>
              </w:numPr>
              <w:shd w:val="clear" w:color="auto" w:fill="FFFFFF"/>
              <w:spacing w:after="0" w:line="240" w:lineRule="auto"/>
              <w:rPr>
                <w:rFonts w:eastAsia="Times New Roman" w:cs="Arial"/>
                <w:color w:val="333333"/>
                <w:szCs w:val="24"/>
                <w:lang w:eastAsia="en-GB"/>
              </w:rPr>
            </w:pPr>
            <w:r>
              <w:rPr>
                <w:rFonts w:eastAsia="Times New Roman" w:cs="Arial"/>
                <w:color w:val="333333"/>
                <w:szCs w:val="24"/>
                <w:lang w:eastAsia="en-GB"/>
              </w:rPr>
              <w:t>Barrow Crematorium</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5ECE8D2D" w14:textId="5C4764B2" w:rsidR="0015633F" w:rsidRDefault="0015633F" w:rsidP="0015633F">
            <w:pPr>
              <w:shd w:val="clear" w:color="auto" w:fill="FFFFFF"/>
              <w:spacing w:after="0" w:line="240" w:lineRule="auto"/>
              <w:rPr>
                <w:rFonts w:eastAsia="Times New Roman" w:cs="Arial"/>
                <w:color w:val="333333"/>
                <w:szCs w:val="24"/>
                <w:lang w:eastAsia="en-GB"/>
              </w:rPr>
            </w:pPr>
            <w:r>
              <w:rPr>
                <w:rFonts w:eastAsia="Times New Roman" w:cs="Arial"/>
                <w:color w:val="333333"/>
                <w:szCs w:val="24"/>
                <w:lang w:eastAsia="en-GB"/>
              </w:rPr>
              <w:t>£154</w:t>
            </w:r>
          </w:p>
        </w:tc>
      </w:tr>
      <w:tr w:rsidR="00327574" w:rsidRPr="008A1F61" w14:paraId="496D4307" w14:textId="77777777" w:rsidTr="0015633F">
        <w:tc>
          <w:tcPr>
            <w:tcW w:w="9781" w:type="dxa"/>
            <w:gridSpan w:val="2"/>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37016FF0" w14:textId="48A6B3B9" w:rsidR="00327574" w:rsidRDefault="00327574" w:rsidP="0015633F">
            <w:pPr>
              <w:shd w:val="clear" w:color="auto" w:fill="FFFFFF"/>
              <w:spacing w:after="0" w:line="240" w:lineRule="auto"/>
              <w:rPr>
                <w:rFonts w:eastAsia="Times New Roman" w:cs="Arial"/>
                <w:color w:val="333333"/>
                <w:szCs w:val="24"/>
                <w:lang w:eastAsia="en-GB"/>
              </w:rPr>
            </w:pPr>
            <w:r>
              <w:rPr>
                <w:rFonts w:eastAsia="Times New Roman" w:cs="Arial"/>
                <w:color w:val="333333"/>
                <w:szCs w:val="24"/>
                <w:lang w:eastAsia="en-GB"/>
              </w:rPr>
              <w:t xml:space="preserve">Memorial Mason Registration Scheme Fee </w:t>
            </w:r>
          </w:p>
        </w:tc>
        <w:tc>
          <w:tcPr>
            <w:tcW w:w="1134"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4D301A49" w14:textId="2CFAB034" w:rsidR="00327574" w:rsidRDefault="00327574" w:rsidP="0015633F">
            <w:pPr>
              <w:shd w:val="clear" w:color="auto" w:fill="FFFFFF"/>
              <w:spacing w:after="0" w:line="240" w:lineRule="auto"/>
              <w:rPr>
                <w:rFonts w:eastAsia="Times New Roman" w:cs="Arial"/>
                <w:color w:val="333333"/>
                <w:szCs w:val="24"/>
                <w:lang w:eastAsia="en-GB"/>
              </w:rPr>
            </w:pPr>
            <w:r>
              <w:rPr>
                <w:rFonts w:eastAsia="Times New Roman" w:cs="Arial"/>
                <w:color w:val="333333"/>
                <w:szCs w:val="24"/>
                <w:lang w:eastAsia="en-GB"/>
              </w:rPr>
              <w:t>£110</w:t>
            </w:r>
          </w:p>
        </w:tc>
      </w:tr>
      <w:tr w:rsidR="0015633F" w:rsidRPr="008A1F61" w14:paraId="299023DA" w14:textId="77777777" w:rsidTr="0015633F">
        <w:tc>
          <w:tcPr>
            <w:tcW w:w="9072"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3A83E83F" w14:textId="18FF8C83" w:rsidR="0015633F" w:rsidRDefault="0015633F" w:rsidP="0015633F">
            <w:pPr>
              <w:shd w:val="clear" w:color="auto" w:fill="FFFFFF"/>
              <w:spacing w:after="0" w:line="240" w:lineRule="auto"/>
              <w:rPr>
                <w:rFonts w:eastAsia="Times New Roman" w:cs="Arial"/>
                <w:color w:val="333333"/>
                <w:szCs w:val="24"/>
                <w:lang w:eastAsia="en-GB"/>
              </w:rPr>
            </w:pPr>
            <w:r>
              <w:rPr>
                <w:rFonts w:eastAsia="Times New Roman" w:cs="Arial"/>
                <w:color w:val="333333"/>
                <w:szCs w:val="24"/>
                <w:lang w:eastAsia="en-GB"/>
              </w:rPr>
              <w:t xml:space="preserve">Administration fee for provision of a Public Health Funeral under Sec. 46 Public Health (Control of Diseases) Act 1984 </w:t>
            </w:r>
          </w:p>
        </w:tc>
        <w:tc>
          <w:tcPr>
            <w:tcW w:w="1843" w:type="dxa"/>
            <w:gridSpan w:val="2"/>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vAlign w:val="center"/>
          </w:tcPr>
          <w:p w14:paraId="71717B32" w14:textId="39D423C3" w:rsidR="0015633F" w:rsidRDefault="0015633F" w:rsidP="0015633F">
            <w:pPr>
              <w:shd w:val="clear" w:color="auto" w:fill="FFFFFF"/>
              <w:spacing w:after="0" w:line="240" w:lineRule="auto"/>
              <w:rPr>
                <w:rFonts w:eastAsia="Times New Roman" w:cs="Arial"/>
                <w:color w:val="333333"/>
                <w:szCs w:val="24"/>
                <w:lang w:eastAsia="en-GB"/>
              </w:rPr>
            </w:pPr>
            <w:r>
              <w:rPr>
                <w:rFonts w:eastAsia="Times New Roman" w:cs="Arial"/>
                <w:color w:val="333333"/>
                <w:szCs w:val="24"/>
                <w:lang w:eastAsia="en-GB"/>
              </w:rPr>
              <w:t>£300 + costs</w:t>
            </w:r>
          </w:p>
        </w:tc>
      </w:tr>
    </w:tbl>
    <w:p w14:paraId="5AD180EE" w14:textId="77777777" w:rsidR="002E4366" w:rsidRPr="002E4366" w:rsidRDefault="002E4366" w:rsidP="002E4366">
      <w:pPr>
        <w:rPr>
          <w:rFonts w:cs="Arial"/>
        </w:rPr>
      </w:pPr>
    </w:p>
    <w:sectPr w:rsidR="002E4366" w:rsidRPr="002E4366" w:rsidSect="002E4366">
      <w:headerReference w:type="default" r:id="rId11"/>
      <w:footerReference w:type="default" r:id="rId12"/>
      <w:headerReference w:type="first" r:id="rId13"/>
      <w:footerReference w:type="first" r:id="rId14"/>
      <w:pgSz w:w="11906" w:h="16838"/>
      <w:pgMar w:top="2268" w:right="1134" w:bottom="2268" w:left="1134" w:header="851"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C6A1" w14:textId="77777777" w:rsidR="009A71FE" w:rsidRDefault="009A71FE" w:rsidP="009C49BB">
      <w:pPr>
        <w:spacing w:after="0" w:line="240" w:lineRule="auto"/>
      </w:pPr>
      <w:r>
        <w:separator/>
      </w:r>
    </w:p>
  </w:endnote>
  <w:endnote w:type="continuationSeparator" w:id="0">
    <w:p w14:paraId="492933B2" w14:textId="77777777" w:rsidR="009A71FE" w:rsidRDefault="009A71FE" w:rsidP="009C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8C2C" w14:textId="0C6C0071" w:rsidR="008F7EE0" w:rsidRDefault="002D09AF" w:rsidP="008F7EE0">
    <w:pPr>
      <w:pStyle w:val="Footer"/>
      <w:rPr>
        <w:rFonts w:cs="Arial"/>
        <w:color w:val="626374"/>
        <w:sz w:val="22"/>
      </w:rPr>
    </w:pPr>
    <w:r>
      <w:rPr>
        <w:rFonts w:cs="Arial"/>
        <w:b/>
        <w:bCs/>
        <w:noProof/>
        <w:color w:val="20A699"/>
        <w:sz w:val="26"/>
        <w:szCs w:val="26"/>
        <w:lang w:eastAsia="en-GB"/>
      </w:rPr>
      <w:drawing>
        <wp:anchor distT="0" distB="0" distL="114300" distR="114300" simplePos="0" relativeHeight="251658240" behindDoc="1" locked="0" layoutInCell="1" allowOverlap="1" wp14:anchorId="578ECFD9" wp14:editId="1CC89F63">
          <wp:simplePos x="0" y="0"/>
          <wp:positionH relativeFrom="page">
            <wp:align>right</wp:align>
          </wp:positionH>
          <wp:positionV relativeFrom="paragraph">
            <wp:posOffset>-1624965</wp:posOffset>
          </wp:positionV>
          <wp:extent cx="2700020" cy="2700020"/>
          <wp:effectExtent l="0" t="0" r="5080" b="508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700020" cy="2700020"/>
                  </a:xfrm>
                  <a:prstGeom prst="rect">
                    <a:avLst/>
                  </a:prstGeom>
                </pic:spPr>
              </pic:pic>
            </a:graphicData>
          </a:graphic>
          <wp14:sizeRelH relativeFrom="page">
            <wp14:pctWidth>0</wp14:pctWidth>
          </wp14:sizeRelH>
          <wp14:sizeRelV relativeFrom="page">
            <wp14:pctHeight>0</wp14:pctHeight>
          </wp14:sizeRelV>
        </wp:anchor>
      </w:drawing>
    </w:r>
    <w:r w:rsidR="009C49BB" w:rsidRPr="009C49BB">
      <w:rPr>
        <w:rFonts w:cs="Arial"/>
        <w:color w:val="626374"/>
        <w:sz w:val="22"/>
      </w:rPr>
      <w:t>South Lakeland House, Lowther Street, Kendal, LA9 4UF</w:t>
    </w:r>
    <w:r w:rsidR="009C49BB" w:rsidRPr="009C49BB">
      <w:rPr>
        <w:rFonts w:cs="Arial"/>
        <w:color w:val="626374"/>
        <w:sz w:val="22"/>
      </w:rPr>
      <w:br/>
    </w:r>
    <w:r w:rsidR="008F7EE0" w:rsidRPr="008F7EE0">
      <w:rPr>
        <w:rFonts w:cs="Arial"/>
        <w:color w:val="626374"/>
        <w:sz w:val="22"/>
      </w:rPr>
      <w:t>Mansion House</w:t>
    </w:r>
    <w:r w:rsidR="008F7EE0">
      <w:rPr>
        <w:rFonts w:cs="Arial"/>
        <w:color w:val="626374"/>
        <w:sz w:val="22"/>
      </w:rPr>
      <w:t xml:space="preserve">, </w:t>
    </w:r>
    <w:r w:rsidR="008F7EE0" w:rsidRPr="008F7EE0">
      <w:rPr>
        <w:rFonts w:cs="Arial"/>
        <w:color w:val="626374"/>
        <w:sz w:val="22"/>
      </w:rPr>
      <w:t>Penrith</w:t>
    </w:r>
    <w:r w:rsidR="008F7EE0">
      <w:rPr>
        <w:rFonts w:cs="Arial"/>
        <w:color w:val="626374"/>
        <w:sz w:val="22"/>
      </w:rPr>
      <w:t xml:space="preserve">, </w:t>
    </w:r>
    <w:r w:rsidR="008F7EE0" w:rsidRPr="008F7EE0">
      <w:rPr>
        <w:rFonts w:cs="Arial"/>
        <w:color w:val="626374"/>
        <w:sz w:val="22"/>
      </w:rPr>
      <w:t>CA11 7YG</w:t>
    </w:r>
  </w:p>
  <w:p w14:paraId="3B8DBDBD" w14:textId="2659B38A" w:rsidR="008F7EE0" w:rsidRPr="009C49BB" w:rsidRDefault="008F7EE0" w:rsidP="008F7EE0">
    <w:pPr>
      <w:pStyle w:val="Footer"/>
      <w:rPr>
        <w:rFonts w:cs="Arial"/>
        <w:color w:val="626374"/>
        <w:sz w:val="22"/>
      </w:rPr>
    </w:pPr>
    <w:r w:rsidRPr="008F7EE0">
      <w:rPr>
        <w:rFonts w:cs="Arial"/>
        <w:color w:val="626374"/>
        <w:sz w:val="22"/>
      </w:rPr>
      <w:t>Cemetery Office, Devonshire Rd, Barrow in Fur</w:t>
    </w:r>
    <w:r>
      <w:rPr>
        <w:rFonts w:cs="Arial"/>
        <w:color w:val="626374"/>
        <w:sz w:val="22"/>
      </w:rPr>
      <w:t>ness</w:t>
    </w:r>
    <w:r w:rsidRPr="008F7EE0">
      <w:rPr>
        <w:rFonts w:cs="Arial"/>
        <w:color w:val="626374"/>
        <w:sz w:val="22"/>
      </w:rPr>
      <w:t>, LA14 5PD</w:t>
    </w:r>
  </w:p>
  <w:p w14:paraId="4DF4B45E" w14:textId="77777777" w:rsidR="009C49BB" w:rsidRPr="009C49BB" w:rsidRDefault="009C49BB" w:rsidP="009C49BB">
    <w:pPr>
      <w:pStyle w:val="Footer"/>
      <w:spacing w:after="120" w:line="300" w:lineRule="auto"/>
      <w:rPr>
        <w:rFonts w:cs="Arial"/>
        <w:b/>
        <w:bCs/>
        <w:color w:val="20A699"/>
        <w:sz w:val="26"/>
        <w:szCs w:val="26"/>
      </w:rPr>
    </w:pPr>
    <w:r w:rsidRPr="009C49BB">
      <w:rPr>
        <w:rFonts w:cs="Arial"/>
        <w:b/>
        <w:bCs/>
        <w:color w:val="20A699"/>
        <w:sz w:val="26"/>
        <w:szCs w:val="26"/>
      </w:rPr>
      <w:t>westmorlandandfurness.gov.uk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20A1" w14:textId="77777777" w:rsidR="00E41C29" w:rsidRPr="009C49BB" w:rsidRDefault="00E41C29" w:rsidP="00E41C29">
    <w:pPr>
      <w:pStyle w:val="Footer"/>
      <w:spacing w:after="120" w:line="300" w:lineRule="auto"/>
      <w:rPr>
        <w:rFonts w:cs="Arial"/>
        <w:color w:val="626374"/>
        <w:sz w:val="22"/>
      </w:rPr>
    </w:pPr>
    <w:r>
      <w:rPr>
        <w:rFonts w:cs="Arial"/>
        <w:b/>
        <w:bCs/>
        <w:noProof/>
        <w:color w:val="20A699"/>
        <w:sz w:val="26"/>
        <w:szCs w:val="26"/>
        <w:lang w:eastAsia="en-GB"/>
      </w:rPr>
      <w:drawing>
        <wp:anchor distT="0" distB="0" distL="114300" distR="114300" simplePos="0" relativeHeight="251660288" behindDoc="1" locked="0" layoutInCell="1" allowOverlap="1" wp14:anchorId="1437C912" wp14:editId="3B2964A6">
          <wp:simplePos x="0" y="0"/>
          <wp:positionH relativeFrom="page">
            <wp:align>right</wp:align>
          </wp:positionH>
          <wp:positionV relativeFrom="paragraph">
            <wp:posOffset>-1624965</wp:posOffset>
          </wp:positionV>
          <wp:extent cx="2700020" cy="2700020"/>
          <wp:effectExtent l="0" t="0" r="5080" b="508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700020" cy="2700020"/>
                  </a:xfrm>
                  <a:prstGeom prst="rect">
                    <a:avLst/>
                  </a:prstGeom>
                </pic:spPr>
              </pic:pic>
            </a:graphicData>
          </a:graphic>
          <wp14:sizeRelH relativeFrom="page">
            <wp14:pctWidth>0</wp14:pctWidth>
          </wp14:sizeRelH>
          <wp14:sizeRelV relativeFrom="page">
            <wp14:pctHeight>0</wp14:pctHeight>
          </wp14:sizeRelV>
        </wp:anchor>
      </w:drawing>
    </w:r>
    <w:r w:rsidRPr="009C49BB">
      <w:rPr>
        <w:rFonts w:cs="Arial"/>
        <w:color w:val="626374"/>
        <w:sz w:val="22"/>
      </w:rPr>
      <w:t>South Lakeland House, Lowther Street, Kendal, Cumbria LA9 4UF</w:t>
    </w:r>
    <w:r w:rsidRPr="009C49BB">
      <w:rPr>
        <w:rFonts w:cs="Arial"/>
        <w:color w:val="626374"/>
        <w:sz w:val="22"/>
      </w:rPr>
      <w:br/>
    </w:r>
    <w:r w:rsidRPr="00CF5C48">
      <w:rPr>
        <w:rFonts w:cs="Arial"/>
        <w:color w:val="626374"/>
        <w:sz w:val="22"/>
        <w:highlight w:val="yellow"/>
      </w:rPr>
      <w:t xml:space="preserve">T. 015395 33173  </w:t>
    </w:r>
    <w:r w:rsidRPr="00CF5C48">
      <w:rPr>
        <w:rFonts w:cs="Arial"/>
        <w:color w:val="20A699"/>
        <w:sz w:val="22"/>
        <w:highlight w:val="yellow"/>
      </w:rPr>
      <w:t>•</w:t>
    </w:r>
    <w:r w:rsidRPr="00CF5C48">
      <w:rPr>
        <w:rFonts w:cs="Arial"/>
        <w:color w:val="626374"/>
        <w:sz w:val="22"/>
        <w:highlight w:val="yellow"/>
      </w:rPr>
      <w:t xml:space="preserve">  F. 015395 33179</w:t>
    </w:r>
  </w:p>
  <w:p w14:paraId="18BC9A8E" w14:textId="77777777" w:rsidR="00E41C29" w:rsidRPr="00E41C29" w:rsidRDefault="00E41C29" w:rsidP="00E41C29">
    <w:pPr>
      <w:pStyle w:val="Footer"/>
      <w:spacing w:after="120" w:line="300" w:lineRule="auto"/>
      <w:rPr>
        <w:rFonts w:cs="Arial"/>
        <w:b/>
        <w:bCs/>
        <w:color w:val="20A699"/>
        <w:sz w:val="26"/>
        <w:szCs w:val="26"/>
      </w:rPr>
    </w:pPr>
    <w:r w:rsidRPr="009C49BB">
      <w:rPr>
        <w:rFonts w:cs="Arial"/>
        <w:b/>
        <w:bCs/>
        <w:color w:val="20A699"/>
        <w:sz w:val="26"/>
        <w:szCs w:val="26"/>
      </w:rPr>
      <w:t>westmorlandandfurness.gov.uk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F1537" w14:textId="77777777" w:rsidR="009A71FE" w:rsidRDefault="009A71FE" w:rsidP="009C49BB">
      <w:pPr>
        <w:spacing w:after="0" w:line="240" w:lineRule="auto"/>
      </w:pPr>
      <w:r>
        <w:separator/>
      </w:r>
    </w:p>
  </w:footnote>
  <w:footnote w:type="continuationSeparator" w:id="0">
    <w:p w14:paraId="541F6BB8" w14:textId="77777777" w:rsidR="009A71FE" w:rsidRDefault="009A71FE" w:rsidP="009C4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9A1B" w14:textId="77777777" w:rsidR="002E4366" w:rsidRPr="008A1F61" w:rsidRDefault="002E4366" w:rsidP="002E4366">
    <w:pPr>
      <w:pStyle w:val="Header"/>
      <w:rPr>
        <w:sz w:val="18"/>
      </w:rPr>
    </w:pPr>
    <w:r>
      <w:rPr>
        <w:noProof/>
        <w:lang w:eastAsia="en-GB"/>
      </w:rPr>
      <w:drawing>
        <wp:inline distT="0" distB="0" distL="0" distR="0" wp14:anchorId="7281DC5E" wp14:editId="7AEFE4D3">
          <wp:extent cx="2540000" cy="58479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extLst>
                      <a:ext uri="{28A0092B-C50C-407E-A947-70E740481C1C}">
                        <a14:useLocalDpi xmlns:a14="http://schemas.microsoft.com/office/drawing/2010/main" val="0"/>
                      </a:ext>
                    </a:extLst>
                  </a:blip>
                  <a:stretch>
                    <a:fillRect/>
                  </a:stretch>
                </pic:blipFill>
                <pic:spPr>
                  <a:xfrm>
                    <a:off x="0" y="0"/>
                    <a:ext cx="2701009" cy="621865"/>
                  </a:xfrm>
                  <a:prstGeom prst="rect">
                    <a:avLst/>
                  </a:prstGeom>
                </pic:spPr>
              </pic:pic>
            </a:graphicData>
          </a:graphic>
        </wp:inline>
      </w:drawing>
    </w:r>
    <w:r>
      <w:t xml:space="preserve"> </w:t>
    </w:r>
    <w:r w:rsidRPr="008A1F61">
      <w:rPr>
        <w:rFonts w:eastAsiaTheme="majorEastAsia" w:cs="Arial"/>
        <w:color w:val="26A699"/>
        <w:spacing w:val="-10"/>
        <w:kern w:val="28"/>
        <w:sz w:val="28"/>
        <w:szCs w:val="40"/>
      </w:rPr>
      <w:t>2023/2024 Price List – Bereavement Services</w:t>
    </w:r>
    <w:r w:rsidRPr="008A1F61">
      <w:rPr>
        <w:sz w:val="18"/>
      </w:rPr>
      <w:t xml:space="preserve"> </w:t>
    </w:r>
  </w:p>
  <w:p w14:paraId="5305F551" w14:textId="77777777" w:rsidR="002E4366" w:rsidRDefault="002E4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1133" w14:textId="31B1B548" w:rsidR="00E41C29" w:rsidRPr="008A1F61" w:rsidRDefault="00E41C29">
    <w:pPr>
      <w:pStyle w:val="Header"/>
      <w:rPr>
        <w:sz w:val="18"/>
      </w:rPr>
    </w:pPr>
    <w:r>
      <w:rPr>
        <w:noProof/>
        <w:lang w:eastAsia="en-GB"/>
      </w:rPr>
      <w:drawing>
        <wp:inline distT="0" distB="0" distL="0" distR="0" wp14:anchorId="57974D7D" wp14:editId="62849AE9">
          <wp:extent cx="2540000" cy="584795"/>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extLst>
                      <a:ext uri="{28A0092B-C50C-407E-A947-70E740481C1C}">
                        <a14:useLocalDpi xmlns:a14="http://schemas.microsoft.com/office/drawing/2010/main" val="0"/>
                      </a:ext>
                    </a:extLst>
                  </a:blip>
                  <a:stretch>
                    <a:fillRect/>
                  </a:stretch>
                </pic:blipFill>
                <pic:spPr>
                  <a:xfrm>
                    <a:off x="0" y="0"/>
                    <a:ext cx="2701009" cy="621865"/>
                  </a:xfrm>
                  <a:prstGeom prst="rect">
                    <a:avLst/>
                  </a:prstGeom>
                </pic:spPr>
              </pic:pic>
            </a:graphicData>
          </a:graphic>
        </wp:inline>
      </w:drawing>
    </w:r>
    <w:r w:rsidR="008A1F61">
      <w:t xml:space="preserve"> </w:t>
    </w:r>
    <w:r w:rsidR="008A1F61" w:rsidRPr="008A1F61">
      <w:rPr>
        <w:rFonts w:eastAsiaTheme="majorEastAsia" w:cs="Arial"/>
        <w:color w:val="26A699"/>
        <w:spacing w:val="-10"/>
        <w:kern w:val="28"/>
        <w:sz w:val="28"/>
        <w:szCs w:val="40"/>
      </w:rPr>
      <w:t>2023/2024 Price List – Bereavement Services</w:t>
    </w:r>
    <w:r w:rsidR="008A1F61" w:rsidRPr="008A1F61">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F71"/>
    <w:multiLevelType w:val="hybridMultilevel"/>
    <w:tmpl w:val="6F9E6532"/>
    <w:lvl w:ilvl="0" w:tplc="70222ABA">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7A7C"/>
    <w:multiLevelType w:val="hybridMultilevel"/>
    <w:tmpl w:val="63A2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187FE1"/>
    <w:multiLevelType w:val="hybridMultilevel"/>
    <w:tmpl w:val="57FCF1C2"/>
    <w:lvl w:ilvl="0" w:tplc="B06826F2">
      <w:start w:val="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879673">
    <w:abstractNumId w:val="1"/>
  </w:num>
  <w:num w:numId="2" w16cid:durableId="655184822">
    <w:abstractNumId w:val="0"/>
  </w:num>
  <w:num w:numId="3" w16cid:durableId="1296639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713"/>
    <w:rsid w:val="0003715F"/>
    <w:rsid w:val="00063732"/>
    <w:rsid w:val="00140193"/>
    <w:rsid w:val="0015633F"/>
    <w:rsid w:val="001F5499"/>
    <w:rsid w:val="00271EBF"/>
    <w:rsid w:val="00292E35"/>
    <w:rsid w:val="002D09AF"/>
    <w:rsid w:val="002E4366"/>
    <w:rsid w:val="00316B8D"/>
    <w:rsid w:val="00327574"/>
    <w:rsid w:val="00352579"/>
    <w:rsid w:val="003D7428"/>
    <w:rsid w:val="003D775D"/>
    <w:rsid w:val="00402E33"/>
    <w:rsid w:val="005B1A81"/>
    <w:rsid w:val="0083780E"/>
    <w:rsid w:val="008A1F61"/>
    <w:rsid w:val="008F7EE0"/>
    <w:rsid w:val="00967812"/>
    <w:rsid w:val="009A71FE"/>
    <w:rsid w:val="009C49BB"/>
    <w:rsid w:val="00A36740"/>
    <w:rsid w:val="00A43E57"/>
    <w:rsid w:val="00A87C5E"/>
    <w:rsid w:val="00BF0370"/>
    <w:rsid w:val="00BF2C38"/>
    <w:rsid w:val="00CF5C48"/>
    <w:rsid w:val="00D10713"/>
    <w:rsid w:val="00D33A76"/>
    <w:rsid w:val="00E41C29"/>
    <w:rsid w:val="00E946BD"/>
    <w:rsid w:val="00F13994"/>
    <w:rsid w:val="00FE3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F65E4F"/>
  <w15:chartTrackingRefBased/>
  <w15:docId w15:val="{19B497F9-14E3-40E7-8285-B1D49E11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amp;FC style"/>
    <w:qFormat/>
    <w:rsid w:val="008A1F61"/>
    <w:pPr>
      <w:spacing w:after="200" w:line="30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9BB"/>
  </w:style>
  <w:style w:type="paragraph" w:styleId="Footer">
    <w:name w:val="footer"/>
    <w:basedOn w:val="Normal"/>
    <w:link w:val="FooterChar"/>
    <w:uiPriority w:val="99"/>
    <w:unhideWhenUsed/>
    <w:rsid w:val="009C4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9BB"/>
  </w:style>
  <w:style w:type="character" w:styleId="Hyperlink">
    <w:name w:val="Hyperlink"/>
    <w:basedOn w:val="DefaultParagraphFont"/>
    <w:uiPriority w:val="99"/>
    <w:unhideWhenUsed/>
    <w:rsid w:val="00E41C29"/>
    <w:rPr>
      <w:color w:val="26A699" w:themeColor="hyperlink"/>
      <w:u w:val="single"/>
    </w:rPr>
  </w:style>
  <w:style w:type="character" w:customStyle="1" w:styleId="UnresolvedMention1">
    <w:name w:val="Unresolved Mention1"/>
    <w:basedOn w:val="DefaultParagraphFont"/>
    <w:uiPriority w:val="99"/>
    <w:semiHidden/>
    <w:unhideWhenUsed/>
    <w:rsid w:val="00E41C29"/>
    <w:rPr>
      <w:color w:val="605E5C"/>
      <w:shd w:val="clear" w:color="auto" w:fill="E1DFDD"/>
    </w:rPr>
  </w:style>
  <w:style w:type="paragraph" w:styleId="BalloonText">
    <w:name w:val="Balloon Text"/>
    <w:basedOn w:val="Normal"/>
    <w:link w:val="BalloonTextChar"/>
    <w:uiPriority w:val="99"/>
    <w:semiHidden/>
    <w:unhideWhenUsed/>
    <w:rsid w:val="00271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EBF"/>
    <w:rPr>
      <w:rFonts w:ascii="Segoe UI" w:hAnsi="Segoe UI" w:cs="Segoe UI"/>
      <w:sz w:val="18"/>
      <w:szCs w:val="18"/>
    </w:rPr>
  </w:style>
  <w:style w:type="paragraph" w:styleId="ListParagraph">
    <w:name w:val="List Paragraph"/>
    <w:basedOn w:val="Normal"/>
    <w:uiPriority w:val="34"/>
    <w:qFormat/>
    <w:rsid w:val="001F5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4740">
      <w:bodyDiv w:val="1"/>
      <w:marLeft w:val="0"/>
      <w:marRight w:val="0"/>
      <w:marTop w:val="0"/>
      <w:marBottom w:val="0"/>
      <w:divBdr>
        <w:top w:val="none" w:sz="0" w:space="0" w:color="auto"/>
        <w:left w:val="none" w:sz="0" w:space="0" w:color="auto"/>
        <w:bottom w:val="none" w:sz="0" w:space="0" w:color="auto"/>
        <w:right w:val="none" w:sz="0" w:space="0" w:color="auto"/>
      </w:divBdr>
    </w:div>
    <w:div w:id="160463080">
      <w:bodyDiv w:val="1"/>
      <w:marLeft w:val="0"/>
      <w:marRight w:val="0"/>
      <w:marTop w:val="0"/>
      <w:marBottom w:val="0"/>
      <w:divBdr>
        <w:top w:val="none" w:sz="0" w:space="0" w:color="auto"/>
        <w:left w:val="none" w:sz="0" w:space="0" w:color="auto"/>
        <w:bottom w:val="none" w:sz="0" w:space="0" w:color="auto"/>
        <w:right w:val="none" w:sz="0" w:space="0" w:color="auto"/>
      </w:divBdr>
    </w:div>
    <w:div w:id="205139579">
      <w:bodyDiv w:val="1"/>
      <w:marLeft w:val="0"/>
      <w:marRight w:val="0"/>
      <w:marTop w:val="0"/>
      <w:marBottom w:val="0"/>
      <w:divBdr>
        <w:top w:val="none" w:sz="0" w:space="0" w:color="auto"/>
        <w:left w:val="none" w:sz="0" w:space="0" w:color="auto"/>
        <w:bottom w:val="none" w:sz="0" w:space="0" w:color="auto"/>
        <w:right w:val="none" w:sz="0" w:space="0" w:color="auto"/>
      </w:divBdr>
    </w:div>
    <w:div w:id="218592245">
      <w:bodyDiv w:val="1"/>
      <w:marLeft w:val="0"/>
      <w:marRight w:val="0"/>
      <w:marTop w:val="0"/>
      <w:marBottom w:val="0"/>
      <w:divBdr>
        <w:top w:val="none" w:sz="0" w:space="0" w:color="auto"/>
        <w:left w:val="none" w:sz="0" w:space="0" w:color="auto"/>
        <w:bottom w:val="none" w:sz="0" w:space="0" w:color="auto"/>
        <w:right w:val="none" w:sz="0" w:space="0" w:color="auto"/>
      </w:divBdr>
    </w:div>
    <w:div w:id="413821162">
      <w:bodyDiv w:val="1"/>
      <w:marLeft w:val="0"/>
      <w:marRight w:val="0"/>
      <w:marTop w:val="0"/>
      <w:marBottom w:val="0"/>
      <w:divBdr>
        <w:top w:val="none" w:sz="0" w:space="0" w:color="auto"/>
        <w:left w:val="none" w:sz="0" w:space="0" w:color="auto"/>
        <w:bottom w:val="none" w:sz="0" w:space="0" w:color="auto"/>
        <w:right w:val="none" w:sz="0" w:space="0" w:color="auto"/>
      </w:divBdr>
    </w:div>
    <w:div w:id="446388196">
      <w:bodyDiv w:val="1"/>
      <w:marLeft w:val="0"/>
      <w:marRight w:val="0"/>
      <w:marTop w:val="0"/>
      <w:marBottom w:val="0"/>
      <w:divBdr>
        <w:top w:val="none" w:sz="0" w:space="0" w:color="auto"/>
        <w:left w:val="none" w:sz="0" w:space="0" w:color="auto"/>
        <w:bottom w:val="none" w:sz="0" w:space="0" w:color="auto"/>
        <w:right w:val="none" w:sz="0" w:space="0" w:color="auto"/>
      </w:divBdr>
    </w:div>
    <w:div w:id="618612212">
      <w:bodyDiv w:val="1"/>
      <w:marLeft w:val="0"/>
      <w:marRight w:val="0"/>
      <w:marTop w:val="0"/>
      <w:marBottom w:val="0"/>
      <w:divBdr>
        <w:top w:val="none" w:sz="0" w:space="0" w:color="auto"/>
        <w:left w:val="none" w:sz="0" w:space="0" w:color="auto"/>
        <w:bottom w:val="none" w:sz="0" w:space="0" w:color="auto"/>
        <w:right w:val="none" w:sz="0" w:space="0" w:color="auto"/>
      </w:divBdr>
    </w:div>
    <w:div w:id="803040393">
      <w:bodyDiv w:val="1"/>
      <w:marLeft w:val="0"/>
      <w:marRight w:val="0"/>
      <w:marTop w:val="0"/>
      <w:marBottom w:val="0"/>
      <w:divBdr>
        <w:top w:val="none" w:sz="0" w:space="0" w:color="auto"/>
        <w:left w:val="none" w:sz="0" w:space="0" w:color="auto"/>
        <w:bottom w:val="none" w:sz="0" w:space="0" w:color="auto"/>
        <w:right w:val="none" w:sz="0" w:space="0" w:color="auto"/>
      </w:divBdr>
    </w:div>
    <w:div w:id="865295576">
      <w:bodyDiv w:val="1"/>
      <w:marLeft w:val="0"/>
      <w:marRight w:val="0"/>
      <w:marTop w:val="0"/>
      <w:marBottom w:val="0"/>
      <w:divBdr>
        <w:top w:val="none" w:sz="0" w:space="0" w:color="auto"/>
        <w:left w:val="none" w:sz="0" w:space="0" w:color="auto"/>
        <w:bottom w:val="none" w:sz="0" w:space="0" w:color="auto"/>
        <w:right w:val="none" w:sz="0" w:space="0" w:color="auto"/>
      </w:divBdr>
    </w:div>
    <w:div w:id="934165228">
      <w:bodyDiv w:val="1"/>
      <w:marLeft w:val="0"/>
      <w:marRight w:val="0"/>
      <w:marTop w:val="0"/>
      <w:marBottom w:val="0"/>
      <w:divBdr>
        <w:top w:val="none" w:sz="0" w:space="0" w:color="auto"/>
        <w:left w:val="none" w:sz="0" w:space="0" w:color="auto"/>
        <w:bottom w:val="none" w:sz="0" w:space="0" w:color="auto"/>
        <w:right w:val="none" w:sz="0" w:space="0" w:color="auto"/>
      </w:divBdr>
    </w:div>
    <w:div w:id="1061826938">
      <w:bodyDiv w:val="1"/>
      <w:marLeft w:val="0"/>
      <w:marRight w:val="0"/>
      <w:marTop w:val="0"/>
      <w:marBottom w:val="0"/>
      <w:divBdr>
        <w:top w:val="none" w:sz="0" w:space="0" w:color="auto"/>
        <w:left w:val="none" w:sz="0" w:space="0" w:color="auto"/>
        <w:bottom w:val="none" w:sz="0" w:space="0" w:color="auto"/>
        <w:right w:val="none" w:sz="0" w:space="0" w:color="auto"/>
      </w:divBdr>
    </w:div>
    <w:div w:id="1145659630">
      <w:bodyDiv w:val="1"/>
      <w:marLeft w:val="0"/>
      <w:marRight w:val="0"/>
      <w:marTop w:val="0"/>
      <w:marBottom w:val="0"/>
      <w:divBdr>
        <w:top w:val="none" w:sz="0" w:space="0" w:color="auto"/>
        <w:left w:val="none" w:sz="0" w:space="0" w:color="auto"/>
        <w:bottom w:val="none" w:sz="0" w:space="0" w:color="auto"/>
        <w:right w:val="none" w:sz="0" w:space="0" w:color="auto"/>
      </w:divBdr>
    </w:div>
    <w:div w:id="1439830821">
      <w:bodyDiv w:val="1"/>
      <w:marLeft w:val="0"/>
      <w:marRight w:val="0"/>
      <w:marTop w:val="0"/>
      <w:marBottom w:val="0"/>
      <w:divBdr>
        <w:top w:val="none" w:sz="0" w:space="0" w:color="auto"/>
        <w:left w:val="none" w:sz="0" w:space="0" w:color="auto"/>
        <w:bottom w:val="none" w:sz="0" w:space="0" w:color="auto"/>
        <w:right w:val="none" w:sz="0" w:space="0" w:color="auto"/>
      </w:divBdr>
    </w:div>
    <w:div w:id="1488550905">
      <w:bodyDiv w:val="1"/>
      <w:marLeft w:val="0"/>
      <w:marRight w:val="0"/>
      <w:marTop w:val="0"/>
      <w:marBottom w:val="0"/>
      <w:divBdr>
        <w:top w:val="none" w:sz="0" w:space="0" w:color="auto"/>
        <w:left w:val="none" w:sz="0" w:space="0" w:color="auto"/>
        <w:bottom w:val="none" w:sz="0" w:space="0" w:color="auto"/>
        <w:right w:val="none" w:sz="0" w:space="0" w:color="auto"/>
      </w:divBdr>
    </w:div>
    <w:div w:id="1489979157">
      <w:bodyDiv w:val="1"/>
      <w:marLeft w:val="0"/>
      <w:marRight w:val="0"/>
      <w:marTop w:val="0"/>
      <w:marBottom w:val="0"/>
      <w:divBdr>
        <w:top w:val="none" w:sz="0" w:space="0" w:color="auto"/>
        <w:left w:val="none" w:sz="0" w:space="0" w:color="auto"/>
        <w:bottom w:val="none" w:sz="0" w:space="0" w:color="auto"/>
        <w:right w:val="none" w:sz="0" w:space="0" w:color="auto"/>
      </w:divBdr>
    </w:div>
    <w:div w:id="1495560236">
      <w:bodyDiv w:val="1"/>
      <w:marLeft w:val="0"/>
      <w:marRight w:val="0"/>
      <w:marTop w:val="0"/>
      <w:marBottom w:val="0"/>
      <w:divBdr>
        <w:top w:val="none" w:sz="0" w:space="0" w:color="auto"/>
        <w:left w:val="none" w:sz="0" w:space="0" w:color="auto"/>
        <w:bottom w:val="none" w:sz="0" w:space="0" w:color="auto"/>
        <w:right w:val="none" w:sz="0" w:space="0" w:color="auto"/>
      </w:divBdr>
    </w:div>
    <w:div w:id="1550413779">
      <w:bodyDiv w:val="1"/>
      <w:marLeft w:val="0"/>
      <w:marRight w:val="0"/>
      <w:marTop w:val="0"/>
      <w:marBottom w:val="0"/>
      <w:divBdr>
        <w:top w:val="none" w:sz="0" w:space="0" w:color="auto"/>
        <w:left w:val="none" w:sz="0" w:space="0" w:color="auto"/>
        <w:bottom w:val="none" w:sz="0" w:space="0" w:color="auto"/>
        <w:right w:val="none" w:sz="0" w:space="0" w:color="auto"/>
      </w:divBdr>
    </w:div>
    <w:div w:id="1700742790">
      <w:bodyDiv w:val="1"/>
      <w:marLeft w:val="0"/>
      <w:marRight w:val="0"/>
      <w:marTop w:val="0"/>
      <w:marBottom w:val="0"/>
      <w:divBdr>
        <w:top w:val="none" w:sz="0" w:space="0" w:color="auto"/>
        <w:left w:val="none" w:sz="0" w:space="0" w:color="auto"/>
        <w:bottom w:val="none" w:sz="0" w:space="0" w:color="auto"/>
        <w:right w:val="none" w:sz="0" w:space="0" w:color="auto"/>
      </w:divBdr>
    </w:div>
    <w:div w:id="1764691049">
      <w:bodyDiv w:val="1"/>
      <w:marLeft w:val="0"/>
      <w:marRight w:val="0"/>
      <w:marTop w:val="0"/>
      <w:marBottom w:val="0"/>
      <w:divBdr>
        <w:top w:val="none" w:sz="0" w:space="0" w:color="auto"/>
        <w:left w:val="none" w:sz="0" w:space="0" w:color="auto"/>
        <w:bottom w:val="none" w:sz="0" w:space="0" w:color="auto"/>
        <w:right w:val="none" w:sz="0" w:space="0" w:color="auto"/>
      </w:divBdr>
    </w:div>
    <w:div w:id="1808819109">
      <w:bodyDiv w:val="1"/>
      <w:marLeft w:val="0"/>
      <w:marRight w:val="0"/>
      <w:marTop w:val="0"/>
      <w:marBottom w:val="0"/>
      <w:divBdr>
        <w:top w:val="none" w:sz="0" w:space="0" w:color="auto"/>
        <w:left w:val="none" w:sz="0" w:space="0" w:color="auto"/>
        <w:bottom w:val="none" w:sz="0" w:space="0" w:color="auto"/>
        <w:right w:val="none" w:sz="0" w:space="0" w:color="auto"/>
      </w:divBdr>
    </w:div>
    <w:div w:id="1835297709">
      <w:bodyDiv w:val="1"/>
      <w:marLeft w:val="0"/>
      <w:marRight w:val="0"/>
      <w:marTop w:val="0"/>
      <w:marBottom w:val="0"/>
      <w:divBdr>
        <w:top w:val="none" w:sz="0" w:space="0" w:color="auto"/>
        <w:left w:val="none" w:sz="0" w:space="0" w:color="auto"/>
        <w:bottom w:val="none" w:sz="0" w:space="0" w:color="auto"/>
        <w:right w:val="none" w:sz="0" w:space="0" w:color="auto"/>
      </w:divBdr>
    </w:div>
    <w:div w:id="1971863009">
      <w:bodyDiv w:val="1"/>
      <w:marLeft w:val="0"/>
      <w:marRight w:val="0"/>
      <w:marTop w:val="0"/>
      <w:marBottom w:val="0"/>
      <w:divBdr>
        <w:top w:val="none" w:sz="0" w:space="0" w:color="auto"/>
        <w:left w:val="none" w:sz="0" w:space="0" w:color="auto"/>
        <w:bottom w:val="none" w:sz="0" w:space="0" w:color="auto"/>
        <w:right w:val="none" w:sz="0" w:space="0" w:color="auto"/>
      </w:divBdr>
    </w:div>
    <w:div w:id="20524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W&amp;FC">
      <a:dk1>
        <a:sysClr val="windowText" lastClr="000000"/>
      </a:dk1>
      <a:lt1>
        <a:sysClr val="window" lastClr="FFFFFF"/>
      </a:lt1>
      <a:dk2>
        <a:srgbClr val="44546A"/>
      </a:dk2>
      <a:lt2>
        <a:srgbClr val="E7E6E6"/>
      </a:lt2>
      <a:accent1>
        <a:srgbClr val="26A699"/>
      </a:accent1>
      <a:accent2>
        <a:srgbClr val="626374"/>
      </a:accent2>
      <a:accent3>
        <a:srgbClr val="A5A5A5"/>
      </a:accent3>
      <a:accent4>
        <a:srgbClr val="F4B61A"/>
      </a:accent4>
      <a:accent5>
        <a:srgbClr val="3083C5"/>
      </a:accent5>
      <a:accent6>
        <a:srgbClr val="1BA447"/>
      </a:accent6>
      <a:hlink>
        <a:srgbClr val="26A699"/>
      </a:hlink>
      <a:folHlink>
        <a:srgbClr val="1F847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A284F869CBE442B747BBBD8743B1BD" ma:contentTypeVersion="0" ma:contentTypeDescription="Create a new document." ma:contentTypeScope="" ma:versionID="9c17ebd34127da42d3873ad54730089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30488-720C-4745-854B-F0BBB322CAD8}">
  <ds:schemaRefs>
    <ds:schemaRef ds:uri="http://schemas.openxmlformats.org/officeDocument/2006/bibliography"/>
  </ds:schemaRefs>
</ds:datastoreItem>
</file>

<file path=customXml/itemProps2.xml><?xml version="1.0" encoding="utf-8"?>
<ds:datastoreItem xmlns:ds="http://schemas.openxmlformats.org/officeDocument/2006/customXml" ds:itemID="{61E6892D-0706-4B45-BEC9-13D591118F83}">
  <ds:schemaRefs>
    <ds:schemaRef ds:uri="http://schemas.microsoft.com/sharepoint/v3/contenttype/forms"/>
  </ds:schemaRefs>
</ds:datastoreItem>
</file>

<file path=customXml/itemProps3.xml><?xml version="1.0" encoding="utf-8"?>
<ds:datastoreItem xmlns:ds="http://schemas.openxmlformats.org/officeDocument/2006/customXml" ds:itemID="{8C293B1E-AC82-4322-B987-4B3DE80EE4A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3A0A654-26B4-4503-A949-107E156CD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Hawkins</dc:creator>
  <cp:keywords/>
  <dc:description/>
  <cp:lastModifiedBy>Chris Pollard</cp:lastModifiedBy>
  <cp:revision>2</cp:revision>
  <cp:lastPrinted>2023-02-21T08:20:00Z</cp:lastPrinted>
  <dcterms:created xsi:type="dcterms:W3CDTF">2023-04-25T10:17:00Z</dcterms:created>
  <dcterms:modified xsi:type="dcterms:W3CDTF">2023-04-25T10:17:00Z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0x010100B6A284F869CBE442B747BBBD8743B1BD</vt:lpwstr>
  </property>
</Properties>
</file>